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sz w:val="30"/>
          <w:szCs w:val="30"/>
        </w:rPr>
      </w:pPr>
      <w:bookmarkStart w:id="1" w:name="_GoBack"/>
      <w:r>
        <w:rPr>
          <w:rFonts w:hint="eastAsia" w:asciiTheme="minorEastAsia" w:hAnsiTheme="minorEastAsia" w:eastAsiaTheme="minorEastAsia"/>
          <w:sz w:val="30"/>
          <w:szCs w:val="30"/>
        </w:rPr>
        <w:t>巴中市妇幼保健院</w:t>
      </w:r>
    </w:p>
    <w:p>
      <w:pPr>
        <w:jc w:val="center"/>
        <w:rPr>
          <w:rFonts w:asciiTheme="minorEastAsia" w:hAnsiTheme="minorEastAsia" w:eastAsiaTheme="minorEastAsia"/>
          <w:sz w:val="30"/>
          <w:szCs w:val="30"/>
        </w:rPr>
      </w:pPr>
      <w:r>
        <w:rPr>
          <w:rFonts w:hint="eastAsia" w:asciiTheme="minorEastAsia" w:hAnsiTheme="minorEastAsia" w:eastAsiaTheme="minorEastAsia"/>
          <w:sz w:val="30"/>
          <w:szCs w:val="30"/>
        </w:rPr>
        <w:t>关于采购输血用微柱凝胶卡及耗材、设备的比选公告</w:t>
      </w:r>
    </w:p>
    <w:p>
      <w:pPr>
        <w:ind w:firstLine="480" w:firstLineChars="200"/>
        <w:jc w:val="left"/>
        <w:rPr>
          <w:rFonts w:hint="eastAsia" w:asciiTheme="minorEastAsia" w:hAnsiTheme="minorEastAsia" w:eastAsiaTheme="minorEastAsia"/>
          <w:szCs w:val="32"/>
        </w:rPr>
      </w:pPr>
    </w:p>
    <w:p>
      <w:pPr>
        <w:ind w:firstLine="480" w:firstLineChars="200"/>
        <w:jc w:val="left"/>
        <w:rPr>
          <w:rFonts w:asciiTheme="minorEastAsia" w:hAnsiTheme="minorEastAsia" w:eastAsiaTheme="minorEastAsia"/>
          <w:szCs w:val="32"/>
        </w:rPr>
      </w:pPr>
      <w:r>
        <w:rPr>
          <w:rFonts w:hint="eastAsia" w:asciiTheme="minorEastAsia" w:hAnsiTheme="minorEastAsia" w:eastAsiaTheme="minorEastAsia"/>
          <w:szCs w:val="32"/>
        </w:rPr>
        <w:t>为进一步规范我院输血检测，提高输血检测的效率和准确性，根据省、市卫健委相关要求，我院拟采购输血用微柱凝胶卡及配套耗材、设备</w:t>
      </w:r>
      <w:r>
        <w:rPr>
          <w:rFonts w:hint="eastAsia" w:asciiTheme="minorEastAsia" w:hAnsiTheme="minorEastAsia" w:eastAsiaTheme="minorEastAsia"/>
          <w:szCs w:val="32"/>
          <w:lang w:eastAsia="zh-CN"/>
        </w:rPr>
        <w:t>，</w:t>
      </w:r>
      <w:r>
        <w:rPr>
          <w:rFonts w:hint="eastAsia" w:asciiTheme="minorEastAsia" w:hAnsiTheme="minorEastAsia" w:eastAsiaTheme="minorEastAsia"/>
          <w:szCs w:val="32"/>
        </w:rPr>
        <w:t>现公开邀请合格商家参与，内容如下：</w:t>
      </w:r>
    </w:p>
    <w:p>
      <w:pPr>
        <w:pStyle w:val="28"/>
        <w:numPr>
          <w:ilvl w:val="0"/>
          <w:numId w:val="1"/>
        </w:numPr>
        <w:spacing w:before="78" w:beforeLines="25"/>
        <w:ind w:firstLineChars="0"/>
        <w:jc w:val="left"/>
        <w:rPr>
          <w:rFonts w:asciiTheme="minorEastAsia" w:hAnsiTheme="minorEastAsia" w:eastAsiaTheme="minorEastAsia"/>
          <w:szCs w:val="32"/>
        </w:rPr>
      </w:pPr>
      <w:r>
        <w:rPr>
          <w:rFonts w:hint="eastAsia" w:asciiTheme="minorEastAsia" w:hAnsiTheme="minorEastAsia" w:eastAsiaTheme="minorEastAsia"/>
          <w:szCs w:val="32"/>
        </w:rPr>
        <w:t>需求清单</w:t>
      </w:r>
    </w:p>
    <w:tbl>
      <w:tblPr>
        <w:tblStyle w:val="10"/>
        <w:tblW w:w="87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4"/>
        <w:gridCol w:w="3229"/>
        <w:gridCol w:w="2223"/>
        <w:gridCol w:w="2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10" w:hRule="atLeast"/>
          <w:jc w:val="center"/>
        </w:trPr>
        <w:tc>
          <w:tcPr>
            <w:tcW w:w="804"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8"/>
                <w:szCs w:val="28"/>
              </w:rPr>
            </w:pPr>
            <w:bookmarkStart w:id="0" w:name="_Hlk26867481"/>
            <w:r>
              <w:rPr>
                <w:rFonts w:hint="eastAsia" w:cs="宋体" w:asciiTheme="minorEastAsia" w:hAnsiTheme="minorEastAsia" w:eastAsiaTheme="minorEastAsia"/>
                <w:b/>
                <w:bCs/>
                <w:kern w:val="0"/>
              </w:rPr>
              <w:t>序号</w:t>
            </w:r>
            <w:bookmarkEnd w:id="0"/>
          </w:p>
        </w:tc>
        <w:tc>
          <w:tcPr>
            <w:tcW w:w="3229"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8"/>
                <w:szCs w:val="28"/>
              </w:rPr>
            </w:pPr>
            <w:r>
              <w:rPr>
                <w:rFonts w:hint="eastAsia" w:cs="宋体" w:asciiTheme="minorEastAsia" w:hAnsiTheme="minorEastAsia" w:eastAsiaTheme="minorEastAsia"/>
                <w:b/>
                <w:bCs/>
                <w:kern w:val="0"/>
              </w:rPr>
              <w:t>产品名称</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8"/>
                <w:szCs w:val="28"/>
              </w:rPr>
            </w:pPr>
            <w:r>
              <w:rPr>
                <w:rFonts w:hint="eastAsia" w:cs="宋体" w:asciiTheme="minorEastAsia" w:hAnsiTheme="minorEastAsia" w:eastAsiaTheme="minorEastAsia"/>
                <w:b/>
                <w:bCs/>
                <w:kern w:val="0"/>
              </w:rPr>
              <w:t>数量</w:t>
            </w:r>
          </w:p>
        </w:tc>
        <w:tc>
          <w:tcPr>
            <w:tcW w:w="2459"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8"/>
                <w:szCs w:val="28"/>
              </w:rPr>
            </w:pPr>
            <w:r>
              <w:rPr>
                <w:rFonts w:hint="eastAsia" w:cs="宋体" w:asciiTheme="minorEastAsia" w:hAnsiTheme="minorEastAsia" w:eastAsiaTheme="minorEastAsia"/>
                <w:b/>
                <w:bCs/>
                <w:kern w:val="0"/>
              </w:rPr>
              <w:t>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8715" w:type="dxa"/>
            <w:gridSpan w:val="4"/>
            <w:tcMar>
              <w:top w:w="0" w:type="dxa"/>
              <w:left w:w="108" w:type="dxa"/>
              <w:bottom w:w="0" w:type="dxa"/>
              <w:right w:w="108" w:type="dxa"/>
            </w:tcMar>
            <w:vAlign w:val="center"/>
          </w:tcPr>
          <w:p>
            <w:pPr>
              <w:widowControl/>
              <w:spacing w:line="240" w:lineRule="auto"/>
              <w:rPr>
                <w:rFonts w:cs="宋体" w:asciiTheme="minorEastAsia" w:hAnsiTheme="minorEastAsia" w:eastAsiaTheme="minorEastAsia"/>
                <w:b/>
                <w:kern w:val="0"/>
                <w:sz w:val="22"/>
                <w:szCs w:val="22"/>
              </w:rPr>
            </w:pPr>
            <w:r>
              <w:rPr>
                <w:rFonts w:hint="eastAsia" w:asciiTheme="minorEastAsia" w:hAnsiTheme="minorEastAsia" w:eastAsiaTheme="minorEastAsia"/>
                <w:b/>
                <w:sz w:val="22"/>
                <w:szCs w:val="22"/>
              </w:rPr>
              <w:t>微柱凝胶卡及配套耗材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ABO、RhD血型定型检测卡（单克隆抗体）</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抗人球蛋白交叉配血卡</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抗人球蛋白不规则抗体筛检卡</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Rh血型抗原检测卡</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HDN母体IgG抗体效价检测卡</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新生儿溶血病胎(婴)儿不完全抗体检测卡</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新生儿ABO、RhD血型检测卡</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ABO血型反定型试剂盒（人血红细胞</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不规则抗体检测试剂（人血红细胞）</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0.2M 2-巯基乙醇</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酸放散试剂</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血型分析用稀释液</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血型鉴定及不规则抗体筛查质控品</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numPr>
                <w:ilvl w:val="0"/>
                <w:numId w:val="2"/>
              </w:numPr>
              <w:spacing w:line="240" w:lineRule="auto"/>
              <w:ind w:firstLineChars="0"/>
              <w:jc w:val="center"/>
              <w:rPr>
                <w:rFonts w:cs="宋体" w:asciiTheme="minorEastAsia" w:hAnsiTheme="minorEastAsia" w:eastAsiaTheme="minorEastAsia"/>
                <w:kern w:val="0"/>
                <w:sz w:val="22"/>
                <w:szCs w:val="22"/>
              </w:rPr>
            </w:pP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交叉配血质控品</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按医院实际采购量</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阳光挂网平台挂网价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8715" w:type="dxa"/>
            <w:gridSpan w:val="4"/>
            <w:tcMar>
              <w:top w:w="0" w:type="dxa"/>
              <w:left w:w="108" w:type="dxa"/>
              <w:bottom w:w="0" w:type="dxa"/>
              <w:right w:w="108" w:type="dxa"/>
            </w:tcMar>
            <w:vAlign w:val="center"/>
          </w:tcPr>
          <w:p>
            <w:pPr>
              <w:widowControl/>
              <w:spacing w:line="240" w:lineRule="auto"/>
              <w:rPr>
                <w:rFonts w:cs="宋体" w:asciiTheme="minorEastAsia" w:hAnsiTheme="minorEastAsia" w:eastAsiaTheme="minorEastAsia"/>
                <w:b/>
                <w:kern w:val="0"/>
                <w:sz w:val="22"/>
                <w:szCs w:val="22"/>
              </w:rPr>
            </w:pPr>
            <w:r>
              <w:rPr>
                <w:rFonts w:hint="eastAsia" w:cs="宋体" w:asciiTheme="minorEastAsia" w:hAnsiTheme="minorEastAsia" w:eastAsiaTheme="minorEastAsia"/>
                <w:b/>
                <w:kern w:val="0"/>
                <w:sz w:val="22"/>
                <w:szCs w:val="22"/>
              </w:rPr>
              <w:t>配套设备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spacing w:line="240" w:lineRule="auto"/>
              <w:ind w:firstLine="0" w:firstLineChars="0"/>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1</w:t>
            </w: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医用离心机</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1台</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8,000.00元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spacing w:line="240" w:lineRule="auto"/>
              <w:ind w:firstLine="0" w:firstLineChars="0"/>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2</w:t>
            </w: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试剂卡孵育器</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1台</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en-US" w:eastAsia="zh-CN"/>
              </w:rPr>
              <w:t>7</w:t>
            </w:r>
            <w:r>
              <w:rPr>
                <w:rFonts w:hint="eastAsia" w:cs="宋体" w:asciiTheme="minorEastAsia" w:hAnsiTheme="minorEastAsia" w:eastAsiaTheme="minorEastAsia"/>
                <w:kern w:val="0"/>
                <w:sz w:val="22"/>
                <w:szCs w:val="22"/>
              </w:rPr>
              <w:t>,000.00元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804" w:type="dxa"/>
            <w:tcMar>
              <w:top w:w="0" w:type="dxa"/>
              <w:left w:w="108" w:type="dxa"/>
              <w:bottom w:w="0" w:type="dxa"/>
              <w:right w:w="108" w:type="dxa"/>
            </w:tcMar>
            <w:vAlign w:val="center"/>
          </w:tcPr>
          <w:p>
            <w:pPr>
              <w:pStyle w:val="28"/>
              <w:widowControl/>
              <w:spacing w:line="240" w:lineRule="auto"/>
              <w:ind w:firstLine="0" w:firstLineChars="0"/>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3</w:t>
            </w:r>
          </w:p>
        </w:tc>
        <w:tc>
          <w:tcPr>
            <w:tcW w:w="3229" w:type="dxa"/>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血库专用离心机</w:t>
            </w:r>
          </w:p>
        </w:tc>
        <w:tc>
          <w:tcPr>
            <w:tcW w:w="2223" w:type="dxa"/>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1台</w:t>
            </w:r>
          </w:p>
        </w:tc>
        <w:tc>
          <w:tcPr>
            <w:tcW w:w="2459" w:type="dxa"/>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en-US" w:eastAsia="zh-CN"/>
              </w:rPr>
              <w:t>5</w:t>
            </w:r>
            <w:r>
              <w:rPr>
                <w:rFonts w:hint="eastAsia" w:cs="宋体" w:asciiTheme="minorEastAsia" w:hAnsiTheme="minorEastAsia" w:eastAsiaTheme="minorEastAsia"/>
                <w:kern w:val="0"/>
                <w:sz w:val="22"/>
                <w:szCs w:val="22"/>
              </w:rPr>
              <w:t>,000.00元</w:t>
            </w:r>
          </w:p>
        </w:tc>
      </w:tr>
    </w:tbl>
    <w:p>
      <w:pPr>
        <w:jc w:val="left"/>
        <w:rPr>
          <w:rFonts w:asciiTheme="minorEastAsia" w:hAnsiTheme="minorEastAsia" w:eastAsiaTheme="minorEastAsia"/>
          <w:sz w:val="22"/>
          <w:szCs w:val="32"/>
        </w:rPr>
      </w:pPr>
      <w:r>
        <w:rPr>
          <w:rFonts w:hint="eastAsia" w:asciiTheme="minorEastAsia" w:hAnsiTheme="minorEastAsia" w:eastAsiaTheme="minorEastAsia"/>
          <w:sz w:val="22"/>
          <w:szCs w:val="32"/>
        </w:rPr>
        <w:t>备注：投标产品注册/备案名称不限于上述清单中的产品名称，但需满足医院对相应产品的功能需求。</w:t>
      </w:r>
    </w:p>
    <w:p>
      <w:pPr>
        <w:pStyle w:val="28"/>
        <w:numPr>
          <w:ilvl w:val="0"/>
          <w:numId w:val="1"/>
        </w:numPr>
        <w:spacing w:before="78" w:beforeLines="25"/>
        <w:ind w:firstLineChars="0"/>
        <w:jc w:val="left"/>
        <w:rPr>
          <w:rFonts w:asciiTheme="minorEastAsia" w:hAnsiTheme="minorEastAsia" w:eastAsiaTheme="minorEastAsia"/>
          <w:szCs w:val="32"/>
        </w:rPr>
      </w:pPr>
      <w:r>
        <w:rPr>
          <w:rFonts w:hint="eastAsia" w:asciiTheme="minorEastAsia" w:hAnsiTheme="minorEastAsia" w:eastAsiaTheme="minorEastAsia"/>
          <w:szCs w:val="32"/>
        </w:rPr>
        <w:t>技术参数要求：</w:t>
      </w:r>
    </w:p>
    <w:p>
      <w:pPr>
        <w:ind w:firstLine="480" w:firstLineChars="200"/>
        <w:jc w:val="left"/>
        <w:rPr>
          <w:rFonts w:asciiTheme="minorEastAsia" w:hAnsiTheme="minorEastAsia" w:eastAsiaTheme="minorEastAsia"/>
        </w:rPr>
      </w:pPr>
      <w:r>
        <w:rPr>
          <w:rFonts w:hint="eastAsia" w:asciiTheme="minorEastAsia" w:hAnsiTheme="minorEastAsia" w:eastAsiaTheme="minorEastAsia"/>
        </w:rPr>
        <w:t>1、</w:t>
      </w:r>
      <w:r>
        <w:rPr>
          <w:rFonts w:hint="eastAsia" w:cs="宋体" w:asciiTheme="minorEastAsia" w:hAnsiTheme="minorEastAsia" w:eastAsiaTheme="minorEastAsia"/>
          <w:kern w:val="0"/>
        </w:rPr>
        <w:t>ABO、RhD血型定型检测卡（单克隆抗体）：用于人ABO血型正定型、反定型、RhD血型的检测。</w:t>
      </w:r>
    </w:p>
    <w:p>
      <w:pPr>
        <w:ind w:firstLine="480" w:firstLineChars="200"/>
        <w:jc w:val="left"/>
        <w:rPr>
          <w:rFonts w:asciiTheme="minorEastAsia" w:hAnsiTheme="minorEastAsia" w:eastAsiaTheme="minorEastAsia"/>
        </w:rPr>
      </w:pPr>
      <w:r>
        <w:rPr>
          <w:rFonts w:hint="eastAsia" w:asciiTheme="minorEastAsia" w:hAnsiTheme="minorEastAsia" w:eastAsiaTheme="minorEastAsia"/>
        </w:rPr>
        <w:t>2、</w:t>
      </w:r>
      <w:r>
        <w:rPr>
          <w:rFonts w:hint="eastAsia" w:cs="宋体" w:asciiTheme="minorEastAsia" w:hAnsiTheme="minorEastAsia" w:eastAsiaTheme="minorEastAsia"/>
          <w:kern w:val="0"/>
        </w:rPr>
        <w:t>抗人球蛋白交叉配血卡：用于交叉配血试验。</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3、抗人球蛋白不规则抗体筛检卡：用于不规则抗体筛检和鉴定试验。</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4、Rh血型抗原检测卡：用于Rh血型系统D、C、c、E、e抗原的检测。</w:t>
      </w:r>
    </w:p>
    <w:p>
      <w:pPr>
        <w:ind w:firstLine="480" w:firstLineChars="200"/>
        <w:jc w:val="left"/>
        <w:rPr>
          <w:rFonts w:cs="宋体" w:asciiTheme="minorEastAsia" w:hAnsiTheme="minorEastAsia" w:eastAsiaTheme="minorEastAsia"/>
          <w:kern w:val="0"/>
        </w:rPr>
      </w:pPr>
      <w:r>
        <w:rPr>
          <w:rFonts w:hint="eastAsia" w:asciiTheme="minorEastAsia" w:hAnsiTheme="minorEastAsia" w:eastAsiaTheme="minorEastAsia"/>
        </w:rPr>
        <w:t>5、</w:t>
      </w:r>
      <w:r>
        <w:rPr>
          <w:rFonts w:hint="eastAsia" w:cs="宋体" w:asciiTheme="minorEastAsia" w:hAnsiTheme="minorEastAsia" w:eastAsiaTheme="minorEastAsia"/>
          <w:kern w:val="0"/>
        </w:rPr>
        <w:t>HDN母体IgG抗体效价检测卡：用于新生儿溶血病HDN母体IgG抗体效价检测。</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6、新生儿溶血病胎(婴)儿不完全抗体检测卡：用于检测游离抗体和放散抗体。</w:t>
      </w:r>
    </w:p>
    <w:p>
      <w:pPr>
        <w:ind w:firstLine="480" w:firstLineChars="200"/>
        <w:jc w:val="left"/>
        <w:rPr>
          <w:rFonts w:cs="宋体" w:asciiTheme="minorEastAsia" w:hAnsiTheme="minorEastAsia" w:eastAsiaTheme="minorEastAsia"/>
          <w:kern w:val="0"/>
        </w:rPr>
      </w:pPr>
      <w:r>
        <w:rPr>
          <w:rFonts w:hint="eastAsia" w:asciiTheme="minorEastAsia" w:hAnsiTheme="minorEastAsia" w:eastAsiaTheme="minorEastAsia"/>
        </w:rPr>
        <w:t>7、</w:t>
      </w:r>
      <w:r>
        <w:rPr>
          <w:rFonts w:hint="eastAsia" w:cs="宋体" w:asciiTheme="minorEastAsia" w:hAnsiTheme="minorEastAsia" w:eastAsiaTheme="minorEastAsia"/>
          <w:kern w:val="0"/>
        </w:rPr>
        <w:t>新生儿ABO、RhD血型检测卡：用于确定新生儿ABO、RhD抗原及新生儿红细胞是否在体内被不完全抗体致敏。</w:t>
      </w:r>
    </w:p>
    <w:p>
      <w:pPr>
        <w:ind w:firstLine="480" w:firstLineChars="200"/>
        <w:jc w:val="left"/>
        <w:rPr>
          <w:rFonts w:cs="宋体" w:asciiTheme="minorEastAsia" w:hAnsiTheme="minorEastAsia" w:eastAsiaTheme="minorEastAsia"/>
          <w:kern w:val="0"/>
        </w:rPr>
      </w:pPr>
      <w:r>
        <w:rPr>
          <w:rFonts w:hint="eastAsia" w:asciiTheme="minorEastAsia" w:hAnsiTheme="minorEastAsia" w:eastAsiaTheme="minorEastAsia"/>
        </w:rPr>
        <w:t>8、</w:t>
      </w:r>
      <w:r>
        <w:rPr>
          <w:rFonts w:hint="eastAsia" w:cs="宋体" w:asciiTheme="minorEastAsia" w:hAnsiTheme="minorEastAsia" w:eastAsiaTheme="minorEastAsia"/>
          <w:kern w:val="0"/>
        </w:rPr>
        <w:t>ABO血型反定型试剂盒（人血红细胞）：用于检测血清中有无相应的抗A或抗B抗体。</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9、不规则抗体检测试剂（人血红细胞）：用于检测血浆（血清）中是否存在不规则抗体。</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10、0.2M 2-巯基乙醇：用于使样本中的待测物从与其他物质结合的状态中释放出来。</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11、酸放散试剂：由放散液A、放散液B、中和液组成。</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12、血型分析用稀释液：用于制备红细胞悬液。</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13、血型鉴定及不规则抗体筛查质控品：用于ABO、RhD血型检测、不规则抗体筛检实验的室内质量控制。</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14、交叉配血质控品：用于交叉配血实验的室内质量控制。</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15、医用离心机：用于病理分析前人体样本的分离。</w:t>
      </w:r>
    </w:p>
    <w:p>
      <w:pPr>
        <w:numPr>
          <w:ilvl w:val="0"/>
          <w:numId w:val="3"/>
        </w:numPr>
        <w:jc w:val="left"/>
        <w:rPr>
          <w:rFonts w:ascii="宋体" w:hAnsi="宋体"/>
          <w:bCs/>
        </w:rPr>
      </w:pPr>
      <w:r>
        <w:rPr>
          <w:rFonts w:hint="eastAsia" w:ascii="宋体" w:hAnsi="宋体"/>
          <w:bCs/>
        </w:rPr>
        <w:t>操作简单，透明上盖，检测过程清晰可见。</w:t>
      </w:r>
    </w:p>
    <w:p>
      <w:pPr>
        <w:numPr>
          <w:ilvl w:val="0"/>
          <w:numId w:val="3"/>
        </w:numPr>
        <w:jc w:val="left"/>
        <w:rPr>
          <w:rFonts w:ascii="宋体" w:hAnsi="宋体"/>
          <w:bCs/>
        </w:rPr>
      </w:pPr>
      <w:r>
        <w:rPr>
          <w:rFonts w:hint="eastAsia" w:ascii="宋体" w:hAnsi="宋体"/>
          <w:bCs/>
        </w:rPr>
        <w:t>液晶屏显示即时转速和时间。</w:t>
      </w:r>
    </w:p>
    <w:p>
      <w:pPr>
        <w:numPr>
          <w:ilvl w:val="0"/>
          <w:numId w:val="3"/>
        </w:numPr>
        <w:jc w:val="left"/>
        <w:rPr>
          <w:rFonts w:ascii="宋体" w:hAnsi="宋体"/>
          <w:bCs/>
        </w:rPr>
      </w:pPr>
      <w:r>
        <w:rPr>
          <w:rFonts w:hint="eastAsia" w:ascii="宋体" w:hAnsi="宋体"/>
          <w:bCs/>
        </w:rPr>
        <w:t>铝合金离心转子及挂放微柱凝胶卡的卡架采用独特设计，离心后，微柱凝胶卡孔内凝胶界面呈水平状态。</w:t>
      </w:r>
    </w:p>
    <w:p>
      <w:pPr>
        <w:numPr>
          <w:ilvl w:val="0"/>
          <w:numId w:val="3"/>
        </w:numPr>
        <w:jc w:val="left"/>
        <w:rPr>
          <w:rFonts w:ascii="宋体" w:hAnsi="宋体"/>
          <w:bCs/>
        </w:rPr>
      </w:pPr>
      <w:r>
        <w:rPr>
          <w:rFonts w:hint="eastAsia" w:ascii="宋体" w:hAnsi="宋体"/>
          <w:bCs/>
        </w:rPr>
        <w:t>可容纳≥12张凝胶卡。</w:t>
      </w:r>
    </w:p>
    <w:p>
      <w:pPr>
        <w:numPr>
          <w:ilvl w:val="0"/>
          <w:numId w:val="3"/>
        </w:numPr>
        <w:jc w:val="left"/>
        <w:rPr>
          <w:rFonts w:ascii="宋体" w:hAnsi="宋体"/>
          <w:bCs/>
        </w:rPr>
      </w:pPr>
      <w:r>
        <w:rPr>
          <w:rFonts w:hint="eastAsia" w:ascii="宋体" w:hAnsi="宋体"/>
          <w:bCs/>
        </w:rPr>
        <w:t>电机最高转速：≤1500r/min。</w:t>
      </w:r>
    </w:p>
    <w:p>
      <w:pPr>
        <w:numPr>
          <w:ilvl w:val="0"/>
          <w:numId w:val="3"/>
        </w:numPr>
        <w:jc w:val="left"/>
        <w:rPr>
          <w:rFonts w:ascii="宋体" w:hAnsi="宋体"/>
          <w:bCs/>
        </w:rPr>
      </w:pPr>
      <w:r>
        <w:rPr>
          <w:rFonts w:hint="eastAsia" w:ascii="宋体" w:hAnsi="宋体"/>
          <w:bCs/>
        </w:rPr>
        <w:t>整机噪音：＜70dB。</w:t>
      </w:r>
    </w:p>
    <w:p>
      <w:pPr>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16、试剂卡孵育器：用于试剂卡的孵育。</w:t>
      </w:r>
    </w:p>
    <w:p>
      <w:pPr>
        <w:numPr>
          <w:ilvl w:val="0"/>
          <w:numId w:val="4"/>
        </w:numPr>
        <w:jc w:val="left"/>
        <w:rPr>
          <w:rFonts w:ascii="宋体" w:hAnsi="宋体"/>
          <w:bCs/>
        </w:rPr>
      </w:pPr>
      <w:r>
        <w:rPr>
          <w:rFonts w:hint="eastAsia" w:ascii="宋体" w:hAnsi="宋体"/>
          <w:bCs/>
        </w:rPr>
        <w:t>孵育温度：37.0℃±1.5℃</w:t>
      </w:r>
    </w:p>
    <w:p>
      <w:pPr>
        <w:numPr>
          <w:ilvl w:val="0"/>
          <w:numId w:val="4"/>
        </w:numPr>
        <w:jc w:val="left"/>
        <w:rPr>
          <w:rFonts w:ascii="宋体" w:hAnsi="宋体"/>
          <w:bCs/>
        </w:rPr>
      </w:pPr>
      <w:r>
        <w:rPr>
          <w:rFonts w:hint="eastAsia" w:ascii="宋体" w:hAnsi="宋体"/>
          <w:bCs/>
        </w:rPr>
        <w:t>升温迅速，自动控温，可自动计时，并有报警提示音。</w:t>
      </w:r>
    </w:p>
    <w:p>
      <w:pPr>
        <w:numPr>
          <w:ilvl w:val="0"/>
          <w:numId w:val="4"/>
        </w:numPr>
        <w:jc w:val="left"/>
        <w:rPr>
          <w:rFonts w:ascii="宋体" w:hAnsi="宋体"/>
          <w:bCs/>
        </w:rPr>
      </w:pPr>
      <w:r>
        <w:rPr>
          <w:rFonts w:hint="eastAsia" w:ascii="宋体" w:hAnsi="宋体"/>
          <w:bCs/>
        </w:rPr>
        <w:t>液晶显示，操作简单，性能可靠，使用安全。</w:t>
      </w:r>
    </w:p>
    <w:p>
      <w:pPr>
        <w:numPr>
          <w:ilvl w:val="0"/>
          <w:numId w:val="4"/>
        </w:numPr>
        <w:jc w:val="left"/>
        <w:rPr>
          <w:rFonts w:ascii="宋体" w:hAnsi="宋体"/>
          <w:bCs/>
        </w:rPr>
      </w:pPr>
      <w:r>
        <w:rPr>
          <w:rFonts w:hint="eastAsia" w:ascii="宋体" w:hAnsi="宋体"/>
          <w:bCs/>
        </w:rPr>
        <w:t>双腔、单控，每个孵育腔可分别孵育，实现一台机器能同时完成两种不同的实验需求。</w:t>
      </w:r>
    </w:p>
    <w:p>
      <w:pPr>
        <w:numPr>
          <w:ilvl w:val="0"/>
          <w:numId w:val="4"/>
        </w:numPr>
        <w:jc w:val="left"/>
        <w:rPr>
          <w:rFonts w:ascii="宋体" w:hAnsi="宋体"/>
          <w:bCs/>
        </w:rPr>
      </w:pPr>
      <w:r>
        <w:rPr>
          <w:rFonts w:hint="eastAsia" w:ascii="宋体" w:hAnsi="宋体"/>
          <w:bCs/>
        </w:rPr>
        <w:t>容量：≥24张凝胶卡。</w:t>
      </w:r>
    </w:p>
    <w:p>
      <w:pPr>
        <w:ind w:left="420"/>
        <w:jc w:val="left"/>
        <w:rPr>
          <w:rFonts w:cs="宋体" w:asciiTheme="minorEastAsia" w:hAnsiTheme="minorEastAsia" w:eastAsiaTheme="minorEastAsia"/>
          <w:kern w:val="0"/>
        </w:rPr>
      </w:pPr>
      <w:r>
        <w:rPr>
          <w:rFonts w:hint="eastAsia" w:cs="宋体" w:asciiTheme="minorEastAsia" w:hAnsiTheme="minorEastAsia" w:eastAsiaTheme="minorEastAsia"/>
          <w:kern w:val="0"/>
        </w:rPr>
        <w:t>17、血库专用离心机：可</w:t>
      </w:r>
      <w:r>
        <w:rPr>
          <w:rFonts w:hint="eastAsia" w:ascii="宋体" w:hAnsi="宋体" w:cs="宋体"/>
          <w:kern w:val="0"/>
        </w:rPr>
        <w:t>用于交叉配血、血型鉴定及不规则抗体的筛查试验。</w:t>
      </w:r>
    </w:p>
    <w:p>
      <w:pPr>
        <w:numPr>
          <w:ilvl w:val="0"/>
          <w:numId w:val="5"/>
        </w:numPr>
        <w:jc w:val="left"/>
        <w:rPr>
          <w:rFonts w:ascii="宋体" w:hAnsi="宋体"/>
          <w:bCs/>
        </w:rPr>
      </w:pPr>
      <w:r>
        <w:rPr>
          <w:rFonts w:hint="eastAsia" w:ascii="宋体" w:hAnsi="宋体"/>
          <w:bCs/>
        </w:rPr>
        <w:t>最短加速时间：≤10s。</w:t>
      </w:r>
    </w:p>
    <w:p>
      <w:pPr>
        <w:numPr>
          <w:ilvl w:val="0"/>
          <w:numId w:val="5"/>
        </w:numPr>
        <w:jc w:val="left"/>
        <w:rPr>
          <w:rFonts w:ascii="宋体" w:hAnsi="宋体"/>
          <w:bCs/>
        </w:rPr>
      </w:pPr>
      <w:r>
        <w:rPr>
          <w:rFonts w:ascii="宋体" w:hAnsi="宋体"/>
          <w:bCs/>
        </w:rPr>
        <w:t>最高转速</w:t>
      </w:r>
      <w:r>
        <w:rPr>
          <w:rFonts w:hint="eastAsia" w:ascii="宋体" w:hAnsi="宋体"/>
          <w:bCs/>
        </w:rPr>
        <w:t>：55</w:t>
      </w:r>
      <w:r>
        <w:rPr>
          <w:rFonts w:ascii="宋体" w:hAnsi="宋体"/>
          <w:bCs/>
        </w:rPr>
        <w:t>00r/min</w:t>
      </w:r>
      <w:r>
        <w:rPr>
          <w:rFonts w:hint="eastAsia" w:ascii="宋体" w:hAnsi="宋体"/>
          <w:bCs/>
        </w:rPr>
        <w:t>，</w:t>
      </w:r>
      <w:r>
        <w:rPr>
          <w:rFonts w:ascii="宋体" w:hAnsi="宋体"/>
          <w:bCs/>
        </w:rPr>
        <w:t>转速精度</w:t>
      </w:r>
      <w:r>
        <w:rPr>
          <w:rFonts w:hint="eastAsia" w:ascii="宋体" w:hAnsi="宋体"/>
          <w:bCs/>
        </w:rPr>
        <w:t>：</w:t>
      </w:r>
      <w:r>
        <w:rPr>
          <w:rFonts w:ascii="宋体" w:hAnsi="宋体"/>
          <w:bCs/>
        </w:rPr>
        <w:t>±</w:t>
      </w:r>
      <w:r>
        <w:rPr>
          <w:rFonts w:hint="eastAsia" w:ascii="宋体" w:hAnsi="宋体"/>
          <w:bCs/>
        </w:rPr>
        <w:t>3</w:t>
      </w:r>
      <w:r>
        <w:rPr>
          <w:rFonts w:ascii="宋体" w:hAnsi="宋体"/>
          <w:bCs/>
        </w:rPr>
        <w:t>0r/min</w:t>
      </w:r>
      <w:r>
        <w:rPr>
          <w:rFonts w:hint="eastAsia" w:ascii="宋体" w:hAnsi="宋体"/>
          <w:bCs/>
        </w:rPr>
        <w:t>。</w:t>
      </w:r>
    </w:p>
    <w:p>
      <w:pPr>
        <w:numPr>
          <w:ilvl w:val="0"/>
          <w:numId w:val="5"/>
        </w:numPr>
        <w:jc w:val="left"/>
        <w:rPr>
          <w:rFonts w:ascii="宋体" w:hAnsi="宋体"/>
          <w:bCs/>
        </w:rPr>
      </w:pPr>
      <w:r>
        <w:rPr>
          <w:rFonts w:hint="eastAsia" w:ascii="宋体" w:hAnsi="宋体"/>
          <w:bCs/>
        </w:rPr>
        <w:t>具有快速升降、停机稳定无回荡的特点。</w:t>
      </w:r>
    </w:p>
    <w:p>
      <w:pPr>
        <w:numPr>
          <w:ilvl w:val="0"/>
          <w:numId w:val="5"/>
        </w:numPr>
        <w:jc w:val="left"/>
        <w:rPr>
          <w:rFonts w:ascii="宋体" w:hAnsi="宋体"/>
          <w:bCs/>
        </w:rPr>
      </w:pPr>
      <w:r>
        <w:rPr>
          <w:rFonts w:hint="eastAsia" w:ascii="宋体" w:hAnsi="宋体"/>
          <w:bCs/>
        </w:rPr>
        <w:t>微机控制，数码显示，无刷电机驱动。</w:t>
      </w:r>
    </w:p>
    <w:p>
      <w:pPr>
        <w:numPr>
          <w:ilvl w:val="0"/>
          <w:numId w:val="5"/>
        </w:numPr>
        <w:jc w:val="left"/>
        <w:rPr>
          <w:rFonts w:ascii="宋体" w:hAnsi="宋体"/>
          <w:bCs/>
        </w:rPr>
      </w:pPr>
      <w:r>
        <w:rPr>
          <w:rFonts w:hint="eastAsia" w:ascii="宋体" w:hAnsi="宋体"/>
          <w:bCs/>
        </w:rPr>
        <w:t>运行中可修改运行参数。</w:t>
      </w:r>
    </w:p>
    <w:p>
      <w:pPr>
        <w:pStyle w:val="28"/>
        <w:numPr>
          <w:ilvl w:val="0"/>
          <w:numId w:val="1"/>
        </w:numPr>
        <w:spacing w:before="78" w:beforeLines="25"/>
        <w:ind w:firstLineChars="0"/>
        <w:jc w:val="left"/>
        <w:rPr>
          <w:rFonts w:asciiTheme="minorEastAsia" w:hAnsiTheme="minorEastAsia" w:eastAsiaTheme="minorEastAsia"/>
          <w:szCs w:val="32"/>
        </w:rPr>
      </w:pPr>
      <w:r>
        <w:rPr>
          <w:rFonts w:hint="eastAsia" w:asciiTheme="minorEastAsia" w:hAnsiTheme="minorEastAsia" w:eastAsiaTheme="minorEastAsia"/>
          <w:szCs w:val="32"/>
        </w:rPr>
        <w:t>资质要求</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具有独立承担民事责任的能力</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具有良好的商业信誉和健全的财务会计制度；</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具有履行合同所必须的设备和专业技术能力；</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具有依法缴纳税收和社会保障资金的良好记录；</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参加本次采购活动三年内，在经营活动中没有重大违法违规记录；</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具有法律和行政法规规定的其他条件：</w:t>
      </w:r>
    </w:p>
    <w:p>
      <w:pPr>
        <w:pStyle w:val="28"/>
        <w:widowControl/>
        <w:numPr>
          <w:ilvl w:val="3"/>
          <w:numId w:val="7"/>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参加本次采购活动三年内，供应商、法定代表人/主要负责人无行贿犯罪记录；</w:t>
      </w:r>
    </w:p>
    <w:p>
      <w:pPr>
        <w:pStyle w:val="28"/>
        <w:widowControl/>
        <w:numPr>
          <w:ilvl w:val="3"/>
          <w:numId w:val="7"/>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供应商未列入失信被执行人、重大税收违法案件当事人名单。</w:t>
      </w:r>
    </w:p>
    <w:p>
      <w:pPr>
        <w:pStyle w:val="28"/>
        <w:widowControl/>
        <w:numPr>
          <w:ilvl w:val="2"/>
          <w:numId w:val="6"/>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项目特殊要求设置：供应商须符合《医疗器械监督管理条例》要求并提供经营该产品的经营许可/经营备案证明材料；投标产品须符合《医疗器械注册管理办法》要求并提供产品的注册/备案证明材料。</w:t>
      </w:r>
    </w:p>
    <w:p>
      <w:pPr>
        <w:pStyle w:val="28"/>
        <w:numPr>
          <w:ilvl w:val="0"/>
          <w:numId w:val="1"/>
        </w:numPr>
        <w:spacing w:before="78" w:beforeLines="25"/>
        <w:ind w:firstLineChars="0"/>
        <w:jc w:val="left"/>
        <w:rPr>
          <w:rFonts w:asciiTheme="minorEastAsia" w:hAnsiTheme="minorEastAsia" w:eastAsiaTheme="minorEastAsia"/>
          <w:szCs w:val="32"/>
        </w:rPr>
      </w:pPr>
      <w:r>
        <w:rPr>
          <w:rFonts w:hint="eastAsia" w:asciiTheme="minorEastAsia" w:hAnsiTheme="minorEastAsia" w:eastAsiaTheme="minorEastAsia"/>
          <w:szCs w:val="32"/>
        </w:rPr>
        <w:t>供应商参加比选时须提供以下资料</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报价单（具体格式附后）。</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供应商符合本项目资质要求的相关证明材料。</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供应商法定代表人身份证复印件。</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针对本次项目法定代表人授权委托书原件和授权代表身份证复印件（法定代表人参加的不提供）。</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供应商是四川省医用耗材集中挂网阳光采购系统备案配送商的证明材料。</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属挂网采购试剂、耗材，供应商必须提供四川省医用耗材集中挂网阳光采购平台产品截图资料（原始网页打印件）。</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产品技术参数偏离表。</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产品技术参数、彩页等证明资料。</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供应商近两年内，在川内三级及以上医院的同类产品业绩证明材料。</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供应商针对此项目的售后服务承诺书原件。</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供应商针对此项目的团队人员配置。</w:t>
      </w:r>
    </w:p>
    <w:p>
      <w:pPr>
        <w:pStyle w:val="28"/>
        <w:widowControl/>
        <w:numPr>
          <w:ilvl w:val="2"/>
          <w:numId w:val="8"/>
        </w:numPr>
        <w:shd w:val="clear" w:color="auto" w:fill="FFFFFF"/>
        <w:ind w:firstLineChars="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供应商认为有必要提供的其他资料。</w:t>
      </w:r>
    </w:p>
    <w:p>
      <w:pPr>
        <w:widowControl/>
        <w:shd w:val="clear" w:color="auto" w:fill="FFFFFF"/>
        <w:ind w:firstLine="48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u w:val="single"/>
          <w:shd w:val="clear" w:color="auto" w:fill="FFFFFF"/>
        </w:rPr>
        <w:t>注：本条款所要求的所有原件及复印件须齐全并加盖供应商鲜章方为有效响应文件。</w:t>
      </w:r>
    </w:p>
    <w:p>
      <w:pPr>
        <w:pStyle w:val="28"/>
        <w:numPr>
          <w:ilvl w:val="0"/>
          <w:numId w:val="1"/>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密封要求</w:t>
      </w:r>
    </w:p>
    <w:p>
      <w:pPr>
        <w:widowControl/>
        <w:shd w:val="clear" w:color="auto" w:fill="FFFFFF"/>
        <w:ind w:firstLine="480" w:firstLineChars="200"/>
        <w:jc w:val="left"/>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将报价单及需提供的相关资料装订成册（不得散装或者合页装订），</w:t>
      </w:r>
      <w:r>
        <w:rPr>
          <w:rFonts w:hint="eastAsia" w:cs="宋体" w:asciiTheme="minorEastAsia" w:hAnsiTheme="minorEastAsia" w:eastAsiaTheme="minorEastAsia"/>
          <w:kern w:val="0"/>
          <w:shd w:val="clear" w:color="auto" w:fill="FFFFFF"/>
          <w:lang w:eastAsia="zh-CN"/>
        </w:rPr>
        <w:t>一</w:t>
      </w:r>
      <w:r>
        <w:rPr>
          <w:rFonts w:hint="eastAsia" w:cs="宋体" w:asciiTheme="minorEastAsia" w:hAnsiTheme="minorEastAsia" w:eastAsiaTheme="minorEastAsia"/>
          <w:kern w:val="0"/>
          <w:shd w:val="clear" w:color="auto" w:fill="FFFFFF"/>
        </w:rPr>
        <w:t>正</w:t>
      </w:r>
      <w:r>
        <w:rPr>
          <w:rFonts w:hint="eastAsia" w:cs="宋体" w:asciiTheme="minorEastAsia" w:hAnsiTheme="minorEastAsia" w:eastAsiaTheme="minorEastAsia"/>
          <w:kern w:val="0"/>
          <w:shd w:val="clear" w:color="auto" w:fill="FFFFFF"/>
          <w:lang w:eastAsia="zh-CN"/>
        </w:rPr>
        <w:t>二</w:t>
      </w:r>
      <w:r>
        <w:rPr>
          <w:rFonts w:hint="eastAsia" w:cs="宋体" w:asciiTheme="minorEastAsia" w:hAnsiTheme="minorEastAsia" w:eastAsiaTheme="minorEastAsia"/>
          <w:kern w:val="0"/>
          <w:shd w:val="clear" w:color="auto" w:fill="FFFFFF"/>
        </w:rPr>
        <w:t>副。资料要求用档案袋封装，密封处加盖公章，封面需注明项目名称、公司名称、联系人、联系方式等相关信息，未按要求装订或密封的视为无效投标。</w:t>
      </w:r>
    </w:p>
    <w:p>
      <w:pPr>
        <w:pStyle w:val="28"/>
        <w:numPr>
          <w:ilvl w:val="0"/>
          <w:numId w:val="1"/>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评标办法及要求</w:t>
      </w:r>
    </w:p>
    <w:p>
      <w:pPr>
        <w:pStyle w:val="28"/>
        <w:numPr>
          <w:ilvl w:val="1"/>
          <w:numId w:val="9"/>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评选方式：两轮比选。</w:t>
      </w:r>
    </w:p>
    <w:p>
      <w:pPr>
        <w:pStyle w:val="28"/>
        <w:numPr>
          <w:ilvl w:val="1"/>
          <w:numId w:val="9"/>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评选流程：</w:t>
      </w:r>
    </w:p>
    <w:p>
      <w:pPr>
        <w:pStyle w:val="28"/>
        <w:numPr>
          <w:ilvl w:val="2"/>
          <w:numId w:val="9"/>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资格性审查：对递交了比选响应文件的供应商进行资格性审查，完全满足此项目资格要求的供应商为有效投标供应商。</w:t>
      </w:r>
    </w:p>
    <w:p>
      <w:pPr>
        <w:pStyle w:val="28"/>
        <w:numPr>
          <w:ilvl w:val="2"/>
          <w:numId w:val="9"/>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第一轮比选：评标委员会通过综合评分法对通过资格性审查的供应商进行评分，得分排名前三的供应商可参与第二轮比选。（若仅</w:t>
      </w:r>
      <w:r>
        <w:rPr>
          <w:rFonts w:hint="eastAsia" w:asciiTheme="minorEastAsia" w:hAnsiTheme="minorEastAsia" w:eastAsiaTheme="minorEastAsia"/>
          <w:szCs w:val="32"/>
          <w:lang w:eastAsia="zh-CN"/>
        </w:rPr>
        <w:t>只有三家或三家以下</w:t>
      </w:r>
      <w:r>
        <w:rPr>
          <w:rFonts w:hint="eastAsia" w:asciiTheme="minorEastAsia" w:hAnsiTheme="minorEastAsia" w:eastAsiaTheme="minorEastAsia"/>
          <w:szCs w:val="32"/>
        </w:rPr>
        <w:t>供应商通过资格性审查，可直接进入第二轮比选。）</w:t>
      </w:r>
    </w:p>
    <w:p>
      <w:pPr>
        <w:pStyle w:val="28"/>
        <w:numPr>
          <w:ilvl w:val="2"/>
          <w:numId w:val="9"/>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第二轮比选：进入第二轮比选的供应商根据比选文件和评标委员会要求，对该项目进行</w:t>
      </w:r>
      <w:r>
        <w:rPr>
          <w:rFonts w:hint="eastAsia" w:asciiTheme="minorEastAsia" w:hAnsiTheme="minorEastAsia" w:eastAsiaTheme="minorEastAsia"/>
          <w:szCs w:val="32"/>
          <w:lang w:eastAsia="zh-CN"/>
        </w:rPr>
        <w:t>磋商后再次比选</w:t>
      </w:r>
      <w:r>
        <w:rPr>
          <w:rFonts w:hint="eastAsia" w:asciiTheme="minorEastAsia" w:hAnsiTheme="minorEastAsia" w:eastAsiaTheme="minorEastAsia"/>
          <w:szCs w:val="32"/>
        </w:rPr>
        <w:t>。</w:t>
      </w:r>
    </w:p>
    <w:p>
      <w:pPr>
        <w:pStyle w:val="28"/>
        <w:numPr>
          <w:ilvl w:val="2"/>
          <w:numId w:val="9"/>
        </w:numPr>
        <w:ind w:firstLineChars="0"/>
        <w:jc w:val="left"/>
        <w:rPr>
          <w:rFonts w:asciiTheme="minorEastAsia" w:hAnsiTheme="minorEastAsia" w:eastAsiaTheme="minorEastAsia"/>
          <w:szCs w:val="32"/>
        </w:rPr>
      </w:pPr>
      <w:r>
        <w:rPr>
          <w:rFonts w:hint="eastAsia" w:asciiTheme="minorEastAsia" w:hAnsiTheme="minorEastAsia" w:eastAsiaTheme="minorEastAsia"/>
          <w:szCs w:val="32"/>
        </w:rPr>
        <w:t>确定中标供应商：根据供应商第二轮</w:t>
      </w:r>
      <w:r>
        <w:rPr>
          <w:rFonts w:hint="eastAsia" w:asciiTheme="minorEastAsia" w:hAnsiTheme="minorEastAsia" w:eastAsiaTheme="minorEastAsia"/>
          <w:szCs w:val="32"/>
          <w:lang w:eastAsia="zh-CN"/>
        </w:rPr>
        <w:t>磋商</w:t>
      </w:r>
      <w:r>
        <w:rPr>
          <w:rFonts w:hint="eastAsia" w:asciiTheme="minorEastAsia" w:hAnsiTheme="minorEastAsia" w:eastAsiaTheme="minorEastAsia"/>
          <w:szCs w:val="32"/>
        </w:rPr>
        <w:t>进行评分，得分最高者为中标供应商。</w:t>
      </w:r>
    </w:p>
    <w:p>
      <w:pPr>
        <w:pStyle w:val="28"/>
        <w:numPr>
          <w:ilvl w:val="1"/>
          <w:numId w:val="9"/>
        </w:numPr>
        <w:ind w:firstLineChars="0"/>
        <w:jc w:val="left"/>
        <w:rPr>
          <w:rFonts w:asciiTheme="minorEastAsia" w:hAnsiTheme="minorEastAsia" w:eastAsiaTheme="minorEastAsia"/>
          <w:szCs w:val="32"/>
        </w:rPr>
      </w:pPr>
      <w:r>
        <w:rPr>
          <w:rFonts w:hint="eastAsia" w:cs="宋体" w:asciiTheme="minorEastAsia" w:hAnsiTheme="minorEastAsia" w:eastAsiaTheme="minorEastAsia"/>
          <w:kern w:val="0"/>
          <w:shd w:val="clear" w:color="auto" w:fill="FFFFFF"/>
        </w:rPr>
        <w:t>综合评分细则表</w:t>
      </w:r>
    </w:p>
    <w:tbl>
      <w:tblPr>
        <w:tblStyle w:val="10"/>
        <w:tblW w:w="8714" w:type="dxa"/>
        <w:jc w:val="center"/>
        <w:tblInd w:w="0" w:type="dxa"/>
        <w:tblLayout w:type="fixed"/>
        <w:tblCellMar>
          <w:top w:w="0" w:type="dxa"/>
          <w:left w:w="0" w:type="dxa"/>
          <w:bottom w:w="0" w:type="dxa"/>
          <w:right w:w="0" w:type="dxa"/>
        </w:tblCellMar>
      </w:tblPr>
      <w:tblGrid>
        <w:gridCol w:w="642"/>
        <w:gridCol w:w="1909"/>
        <w:gridCol w:w="850"/>
        <w:gridCol w:w="5313"/>
      </w:tblGrid>
      <w:tr>
        <w:tblPrEx>
          <w:tblLayout w:type="fixed"/>
          <w:tblCellMar>
            <w:top w:w="0" w:type="dxa"/>
            <w:left w:w="0" w:type="dxa"/>
            <w:bottom w:w="0" w:type="dxa"/>
            <w:right w:w="0" w:type="dxa"/>
          </w:tblCellMar>
        </w:tblPrEx>
        <w:trPr>
          <w:cantSplit/>
          <w:trHeight w:val="538" w:hRule="atLeast"/>
          <w:tblHeader/>
          <w:jc w:val="center"/>
        </w:trPr>
        <w:tc>
          <w:tcPr>
            <w:tcW w:w="64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序号</w:t>
            </w:r>
          </w:p>
        </w:tc>
        <w:tc>
          <w:tcPr>
            <w:tcW w:w="190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评分因素及权重</w:t>
            </w:r>
          </w:p>
        </w:tc>
        <w:tc>
          <w:tcPr>
            <w:tcW w:w="8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分值</w:t>
            </w:r>
          </w:p>
        </w:tc>
        <w:tc>
          <w:tcPr>
            <w:tcW w:w="531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评分标准</w:t>
            </w:r>
          </w:p>
        </w:tc>
      </w:tr>
      <w:tr>
        <w:tblPrEx>
          <w:tblLayout w:type="fixed"/>
          <w:tblCellMar>
            <w:top w:w="0" w:type="dxa"/>
            <w:left w:w="0" w:type="dxa"/>
            <w:bottom w:w="0" w:type="dxa"/>
            <w:right w:w="0" w:type="dxa"/>
          </w:tblCellMar>
        </w:tblPrEx>
        <w:trPr>
          <w:cantSplit/>
          <w:trHeight w:val="71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ind w:firstLine="28"/>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1</w:t>
            </w:r>
          </w:p>
        </w:tc>
        <w:tc>
          <w:tcPr>
            <w:tcW w:w="19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报价部分</w:t>
            </w:r>
            <w:r>
              <w:rPr>
                <w:rFonts w:hint="eastAsia" w:cs="宋体" w:asciiTheme="minorEastAsia" w:hAnsiTheme="minorEastAsia" w:eastAsiaTheme="minorEastAsia"/>
                <w:kern w:val="0"/>
                <w:sz w:val="21"/>
                <w:szCs w:val="21"/>
                <w:lang w:val="en-US" w:eastAsia="zh-CN"/>
              </w:rPr>
              <w:t>35</w:t>
            </w:r>
            <w:r>
              <w:rPr>
                <w:rFonts w:hint="eastAsia" w:cs="宋体" w:asciiTheme="minorEastAsia" w:hAnsiTheme="minorEastAsia" w:eastAsiaTheme="minorEastAsia"/>
                <w:kern w:val="0"/>
                <w:sz w:val="21"/>
                <w:szCs w:val="21"/>
              </w:rPr>
              <w:t>%</w:t>
            </w:r>
          </w:p>
        </w:tc>
        <w:tc>
          <w:tcPr>
            <w:tcW w:w="8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hint="eastAsia" w:cs="宋体" w:asciiTheme="minorEastAsia" w:hAnsiTheme="minorEastAsia" w:eastAsiaTheme="minorEastAsia"/>
                <w:kern w:val="0"/>
                <w:sz w:val="21"/>
                <w:szCs w:val="21"/>
                <w:lang w:eastAsia="zh-CN"/>
              </w:rPr>
            </w:pPr>
            <w:r>
              <w:rPr>
                <w:rFonts w:hint="eastAsia" w:cs="宋体" w:asciiTheme="minorEastAsia" w:hAnsiTheme="minorEastAsia" w:eastAsiaTheme="minorEastAsia"/>
                <w:kern w:val="0"/>
                <w:sz w:val="21"/>
                <w:szCs w:val="21"/>
              </w:rPr>
              <w:t>3</w:t>
            </w:r>
            <w:r>
              <w:rPr>
                <w:rFonts w:hint="eastAsia" w:cs="宋体" w:asciiTheme="minorEastAsia" w:hAnsiTheme="minorEastAsia" w:eastAsiaTheme="minorEastAsia"/>
                <w:kern w:val="0"/>
                <w:sz w:val="21"/>
                <w:szCs w:val="21"/>
                <w:lang w:val="en-US" w:eastAsia="zh-CN"/>
              </w:rPr>
              <w:t>5</w:t>
            </w:r>
          </w:p>
        </w:tc>
        <w:tc>
          <w:tcPr>
            <w:tcW w:w="531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微柱凝胶卡及配套耗材报价（</w:t>
            </w:r>
            <w:r>
              <w:rPr>
                <w:rFonts w:hint="eastAsia" w:cs="宋体" w:asciiTheme="minorEastAsia" w:hAnsiTheme="minorEastAsia" w:eastAsiaTheme="minorEastAsia"/>
                <w:kern w:val="0"/>
                <w:sz w:val="21"/>
                <w:szCs w:val="21"/>
                <w:lang w:val="en-US" w:eastAsia="zh-CN"/>
              </w:rPr>
              <w:t>30</w:t>
            </w:r>
            <w:r>
              <w:rPr>
                <w:rFonts w:hint="eastAsia" w:cs="宋体" w:asciiTheme="minorEastAsia" w:hAnsiTheme="minorEastAsia" w:eastAsiaTheme="minorEastAsia"/>
                <w:kern w:val="0"/>
                <w:sz w:val="21"/>
                <w:szCs w:val="21"/>
              </w:rPr>
              <w:t>分）：经专家评审的最低有效报价作为卡及配套耗材报价的评审基准价；报价得分=(评审基准价／最后报价)×</w:t>
            </w:r>
            <w:r>
              <w:rPr>
                <w:rFonts w:hint="eastAsia" w:cs="宋体" w:asciiTheme="minorEastAsia" w:hAnsiTheme="minorEastAsia" w:eastAsiaTheme="minorEastAsia"/>
                <w:kern w:val="0"/>
                <w:sz w:val="21"/>
                <w:szCs w:val="21"/>
                <w:lang w:val="en-US" w:eastAsia="zh-CN"/>
              </w:rPr>
              <w:t>30</w:t>
            </w:r>
            <w:r>
              <w:rPr>
                <w:rFonts w:hint="eastAsia" w:cs="宋体" w:asciiTheme="minorEastAsia" w:hAnsiTheme="minorEastAsia" w:eastAsiaTheme="minorEastAsia"/>
                <w:kern w:val="0"/>
                <w:sz w:val="21"/>
                <w:szCs w:val="21"/>
              </w:rPr>
              <w:t>；</w:t>
            </w:r>
          </w:p>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设备报价（5分）：经专家评审的最低有效报价作为设备报价的评审基准价；报价得分=(评审基准价／最后报价)×5。</w:t>
            </w:r>
          </w:p>
        </w:tc>
      </w:tr>
      <w:tr>
        <w:tblPrEx>
          <w:tblLayout w:type="fixed"/>
          <w:tblCellMar>
            <w:top w:w="0" w:type="dxa"/>
            <w:left w:w="0" w:type="dxa"/>
            <w:bottom w:w="0" w:type="dxa"/>
            <w:right w:w="0" w:type="dxa"/>
          </w:tblCellMar>
        </w:tblPrEx>
        <w:trPr>
          <w:cantSplit/>
          <w:trHeight w:val="55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ind w:firstLine="28"/>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2</w:t>
            </w:r>
          </w:p>
        </w:tc>
        <w:tc>
          <w:tcPr>
            <w:tcW w:w="19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技术部分</w:t>
            </w:r>
            <w:r>
              <w:rPr>
                <w:rFonts w:hint="eastAsia" w:cs="宋体" w:asciiTheme="minorEastAsia" w:hAnsiTheme="minorEastAsia" w:eastAsiaTheme="minorEastAsia"/>
                <w:kern w:val="0"/>
                <w:sz w:val="21"/>
                <w:szCs w:val="21"/>
                <w:lang w:val="en-US" w:eastAsia="zh-CN"/>
              </w:rPr>
              <w:t>35</w:t>
            </w:r>
            <w:r>
              <w:rPr>
                <w:rFonts w:hint="eastAsia" w:cs="宋体" w:asciiTheme="minorEastAsia" w:hAnsiTheme="minorEastAsia" w:eastAsiaTheme="minorEastAsia"/>
                <w:kern w:val="0"/>
                <w:sz w:val="21"/>
                <w:szCs w:val="21"/>
              </w:rPr>
              <w:t>%</w:t>
            </w:r>
          </w:p>
        </w:tc>
        <w:tc>
          <w:tcPr>
            <w:tcW w:w="8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hint="default" w:cs="宋体" w:asciiTheme="minorEastAsia" w:hAnsiTheme="minorEastAsia" w:eastAsiaTheme="minorEastAsia"/>
                <w:kern w:val="0"/>
                <w:sz w:val="21"/>
                <w:szCs w:val="21"/>
                <w:lang w:val="en-US" w:eastAsia="zh-CN"/>
              </w:rPr>
            </w:pPr>
            <w:r>
              <w:rPr>
                <w:rFonts w:hint="eastAsia" w:cs="宋体" w:asciiTheme="minorEastAsia" w:hAnsiTheme="minorEastAsia" w:eastAsiaTheme="minorEastAsia"/>
                <w:kern w:val="0"/>
                <w:sz w:val="21"/>
                <w:szCs w:val="21"/>
                <w:lang w:val="en-US" w:eastAsia="zh-CN"/>
              </w:rPr>
              <w:t>35</w:t>
            </w:r>
          </w:p>
        </w:tc>
        <w:tc>
          <w:tcPr>
            <w:tcW w:w="531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负偏离一项扣</w:t>
            </w:r>
            <w:r>
              <w:rPr>
                <w:rFonts w:hint="eastAsia" w:cs="宋体" w:asciiTheme="minorEastAsia" w:hAnsiTheme="minorEastAsia" w:eastAsiaTheme="minorEastAsia"/>
                <w:kern w:val="0"/>
                <w:sz w:val="21"/>
                <w:szCs w:val="21"/>
                <w:lang w:val="en-US" w:eastAsia="zh-CN"/>
              </w:rPr>
              <w:t>3</w:t>
            </w:r>
            <w:r>
              <w:rPr>
                <w:rFonts w:hint="eastAsia" w:cs="宋体" w:asciiTheme="minorEastAsia" w:hAnsiTheme="minorEastAsia" w:eastAsiaTheme="minorEastAsia"/>
                <w:kern w:val="0"/>
                <w:sz w:val="21"/>
                <w:szCs w:val="21"/>
              </w:rPr>
              <w:t>分，直至该项分值扣完为止。</w:t>
            </w:r>
          </w:p>
        </w:tc>
      </w:tr>
      <w:tr>
        <w:tblPrEx>
          <w:tblLayout w:type="fixed"/>
          <w:tblCellMar>
            <w:top w:w="0" w:type="dxa"/>
            <w:left w:w="0" w:type="dxa"/>
            <w:bottom w:w="0" w:type="dxa"/>
            <w:right w:w="0" w:type="dxa"/>
          </w:tblCellMar>
        </w:tblPrEx>
        <w:trPr>
          <w:cantSplit/>
          <w:trHeight w:val="1101"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ind w:firstLine="28"/>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3</w:t>
            </w:r>
          </w:p>
        </w:tc>
        <w:tc>
          <w:tcPr>
            <w:tcW w:w="19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业绩证明材料8%</w:t>
            </w:r>
          </w:p>
        </w:tc>
        <w:tc>
          <w:tcPr>
            <w:tcW w:w="8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8</w:t>
            </w:r>
          </w:p>
        </w:tc>
        <w:tc>
          <w:tcPr>
            <w:tcW w:w="531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供应商具有近两年内，在川内三级及以上医院的同类产品销售业绩，有1个得2分，最高得8分。提供出库单、销售发票、合同、中标通知书等证明材料复印件，不提供不得分。</w:t>
            </w:r>
          </w:p>
        </w:tc>
      </w:tr>
      <w:tr>
        <w:tblPrEx>
          <w:tblLayout w:type="fixed"/>
          <w:tblCellMar>
            <w:top w:w="0" w:type="dxa"/>
            <w:left w:w="0" w:type="dxa"/>
            <w:bottom w:w="0" w:type="dxa"/>
            <w:right w:w="0" w:type="dxa"/>
          </w:tblCellMar>
        </w:tblPrEx>
        <w:trPr>
          <w:cantSplit/>
          <w:trHeight w:val="1168"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ind w:firstLine="28"/>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3</w:t>
            </w:r>
          </w:p>
        </w:tc>
        <w:tc>
          <w:tcPr>
            <w:tcW w:w="19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售后服务10%</w:t>
            </w:r>
          </w:p>
        </w:tc>
        <w:tc>
          <w:tcPr>
            <w:tcW w:w="8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10</w:t>
            </w:r>
          </w:p>
        </w:tc>
        <w:tc>
          <w:tcPr>
            <w:tcW w:w="531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售后服务承诺详细，售后保障能力强，得10分；售后服务承诺比较详细，有一定的售后保障能力，得5分；服务承诺不详细,售后能力保障差，得2分；不提供不得分。</w:t>
            </w:r>
          </w:p>
        </w:tc>
      </w:tr>
      <w:tr>
        <w:tblPrEx>
          <w:tblLayout w:type="fixed"/>
          <w:tblCellMar>
            <w:top w:w="0" w:type="dxa"/>
            <w:left w:w="0" w:type="dxa"/>
            <w:bottom w:w="0" w:type="dxa"/>
            <w:right w:w="0" w:type="dxa"/>
          </w:tblCellMar>
        </w:tblPrEx>
        <w:trPr>
          <w:cantSplit/>
          <w:trHeight w:val="93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ind w:firstLine="28"/>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4</w:t>
            </w:r>
          </w:p>
        </w:tc>
        <w:tc>
          <w:tcPr>
            <w:tcW w:w="19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本项目团队人员配置10%</w:t>
            </w:r>
          </w:p>
        </w:tc>
        <w:tc>
          <w:tcPr>
            <w:tcW w:w="8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10</w:t>
            </w:r>
          </w:p>
        </w:tc>
        <w:tc>
          <w:tcPr>
            <w:tcW w:w="531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根据供应商本项目团队人员配置、岗位分工及协作等进行综合评定，评定为优的，得10分；评定为良的得5分；评定为一般的得3分；其余不得分。</w:t>
            </w:r>
          </w:p>
        </w:tc>
      </w:tr>
      <w:tr>
        <w:tblPrEx>
          <w:tblLayout w:type="fixed"/>
          <w:tblCellMar>
            <w:top w:w="0" w:type="dxa"/>
            <w:left w:w="0" w:type="dxa"/>
            <w:bottom w:w="0" w:type="dxa"/>
            <w:right w:w="0" w:type="dxa"/>
          </w:tblCellMar>
        </w:tblPrEx>
        <w:trPr>
          <w:cantSplit/>
          <w:trHeight w:val="710"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ind w:firstLine="210"/>
              <w:rPr>
                <w:rFonts w:hint="eastAsia" w:cs="宋体" w:asciiTheme="minorEastAsia" w:hAnsiTheme="minorEastAsia" w:eastAsiaTheme="minorEastAsia"/>
                <w:kern w:val="0"/>
                <w:sz w:val="21"/>
                <w:szCs w:val="21"/>
                <w:lang w:eastAsia="zh-CN"/>
              </w:rPr>
            </w:pPr>
            <w:r>
              <w:rPr>
                <w:rFonts w:hint="eastAsia" w:cs="宋体" w:asciiTheme="minorEastAsia" w:hAnsiTheme="minorEastAsia" w:eastAsiaTheme="minorEastAsia"/>
                <w:kern w:val="0"/>
                <w:sz w:val="21"/>
                <w:szCs w:val="21"/>
                <w:lang w:val="en-US" w:eastAsia="zh-CN"/>
              </w:rPr>
              <w:t>6</w:t>
            </w:r>
          </w:p>
        </w:tc>
        <w:tc>
          <w:tcPr>
            <w:tcW w:w="19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响应文件的规范性2%</w:t>
            </w:r>
          </w:p>
        </w:tc>
        <w:tc>
          <w:tcPr>
            <w:tcW w:w="8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2</w:t>
            </w:r>
          </w:p>
        </w:tc>
        <w:tc>
          <w:tcPr>
            <w:tcW w:w="531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240" w:lineRule="auto"/>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响应文件制作规范，没有细微偏差情形的得2分；有一项细微偏差扣0.5分，直至该项分值扣完为止。</w:t>
            </w:r>
          </w:p>
        </w:tc>
      </w:tr>
    </w:tbl>
    <w:p>
      <w:pPr>
        <w:pStyle w:val="28"/>
        <w:numPr>
          <w:ilvl w:val="0"/>
          <w:numId w:val="0"/>
        </w:numPr>
        <w:ind w:leftChars="0"/>
        <w:jc w:val="left"/>
        <w:rPr>
          <w:rFonts w:asciiTheme="minorEastAsia" w:hAnsiTheme="minorEastAsia" w:eastAsiaTheme="minorEastAsia"/>
          <w:szCs w:val="32"/>
        </w:rPr>
      </w:pPr>
    </w:p>
    <w:p>
      <w:pPr>
        <w:pStyle w:val="28"/>
        <w:numPr>
          <w:ilvl w:val="0"/>
          <w:numId w:val="0"/>
        </w:numPr>
        <w:ind w:leftChars="0"/>
        <w:jc w:val="left"/>
        <w:rPr>
          <w:rFonts w:asciiTheme="minorEastAsia" w:hAnsiTheme="minorEastAsia" w:eastAsiaTheme="minorEastAsia"/>
          <w:szCs w:val="32"/>
        </w:rPr>
      </w:pPr>
      <w:r>
        <w:rPr>
          <w:rFonts w:hint="eastAsia" w:asciiTheme="minorEastAsia" w:hAnsiTheme="minorEastAsia" w:eastAsiaTheme="minorEastAsia"/>
          <w:szCs w:val="32"/>
          <w:lang w:eastAsia="zh-CN"/>
        </w:rPr>
        <w:t>七、</w:t>
      </w:r>
      <w:r>
        <w:rPr>
          <w:rFonts w:hint="eastAsia" w:asciiTheme="minorEastAsia" w:hAnsiTheme="minorEastAsia" w:eastAsiaTheme="minorEastAsia"/>
          <w:szCs w:val="32"/>
        </w:rPr>
        <w:t>投标方式及时间要求</w:t>
      </w:r>
    </w:p>
    <w:p>
      <w:pPr>
        <w:pStyle w:val="28"/>
        <w:numPr>
          <w:ilvl w:val="1"/>
          <w:numId w:val="10"/>
        </w:numPr>
        <w:ind w:firstLineChars="0"/>
        <w:rPr>
          <w:rFonts w:hint="eastAsia"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报名时间：2020年</w:t>
      </w:r>
      <w:r>
        <w:rPr>
          <w:rFonts w:hint="eastAsia" w:cs="宋体" w:asciiTheme="minorEastAsia" w:hAnsiTheme="minorEastAsia" w:eastAsiaTheme="minorEastAsia"/>
          <w:kern w:val="0"/>
          <w:u w:val="single"/>
          <w:shd w:val="clear" w:color="auto" w:fill="FFFFFF"/>
          <w:lang w:val="en-US" w:eastAsia="zh-CN"/>
        </w:rPr>
        <w:t>04</w:t>
      </w:r>
      <w:r>
        <w:rPr>
          <w:rFonts w:hint="eastAsia" w:cs="宋体" w:asciiTheme="minorEastAsia" w:hAnsiTheme="minorEastAsia" w:eastAsiaTheme="minorEastAsia"/>
          <w:kern w:val="0"/>
          <w:shd w:val="clear" w:color="auto" w:fill="FFFFFF"/>
        </w:rPr>
        <w:t>月</w:t>
      </w:r>
      <w:r>
        <w:rPr>
          <w:rFonts w:hint="eastAsia" w:cs="宋体" w:asciiTheme="minorEastAsia" w:hAnsiTheme="minorEastAsia" w:eastAsiaTheme="minorEastAsia"/>
          <w:kern w:val="0"/>
          <w:u w:val="single"/>
          <w:shd w:val="clear" w:color="auto" w:fill="FFFFFF"/>
          <w:lang w:val="en-US" w:eastAsia="zh-CN"/>
        </w:rPr>
        <w:t>16</w:t>
      </w:r>
      <w:r>
        <w:rPr>
          <w:rFonts w:hint="eastAsia" w:cs="宋体" w:asciiTheme="minorEastAsia" w:hAnsiTheme="minorEastAsia" w:eastAsiaTheme="minorEastAsia"/>
          <w:kern w:val="0"/>
          <w:shd w:val="clear" w:color="auto" w:fill="FFFFFF"/>
        </w:rPr>
        <w:t>日至2020年</w:t>
      </w:r>
      <w:r>
        <w:rPr>
          <w:rFonts w:hint="eastAsia" w:cs="宋体" w:asciiTheme="minorEastAsia" w:hAnsiTheme="minorEastAsia" w:eastAsiaTheme="minorEastAsia"/>
          <w:kern w:val="0"/>
          <w:u w:val="single"/>
          <w:shd w:val="clear" w:color="auto" w:fill="FFFFFF"/>
          <w:lang w:val="en-US" w:eastAsia="zh-CN"/>
        </w:rPr>
        <w:t>04</w:t>
      </w:r>
      <w:r>
        <w:rPr>
          <w:rFonts w:hint="eastAsia" w:cs="宋体" w:asciiTheme="minorEastAsia" w:hAnsiTheme="minorEastAsia" w:eastAsiaTheme="minorEastAsia"/>
          <w:kern w:val="0"/>
          <w:shd w:val="clear" w:color="auto" w:fill="FFFFFF"/>
        </w:rPr>
        <w:t>月</w:t>
      </w:r>
      <w:r>
        <w:rPr>
          <w:rFonts w:hint="eastAsia" w:cs="宋体" w:asciiTheme="minorEastAsia" w:hAnsiTheme="minorEastAsia" w:eastAsiaTheme="minorEastAsia"/>
          <w:kern w:val="0"/>
          <w:u w:val="single"/>
          <w:shd w:val="clear" w:color="auto" w:fill="FFFFFF"/>
          <w:lang w:val="en-US" w:eastAsia="zh-CN"/>
        </w:rPr>
        <w:t>22</w:t>
      </w:r>
      <w:r>
        <w:rPr>
          <w:rFonts w:hint="eastAsia" w:cs="宋体" w:asciiTheme="minorEastAsia" w:hAnsiTheme="minorEastAsia" w:eastAsiaTheme="minorEastAsia"/>
          <w:kern w:val="0"/>
          <w:shd w:val="clear" w:color="auto" w:fill="FFFFFF"/>
        </w:rPr>
        <w:t>日止。（工作时间：</w:t>
      </w:r>
      <w:r>
        <w:rPr>
          <w:rFonts w:hint="eastAsia" w:cs="宋体" w:asciiTheme="minorEastAsia" w:hAnsiTheme="minorEastAsia" w:eastAsiaTheme="minorEastAsia"/>
          <w:kern w:val="0"/>
          <w:u w:val="single"/>
          <w:shd w:val="clear" w:color="auto" w:fill="FFFFFF"/>
          <w:lang w:val="en-US" w:eastAsia="zh-CN"/>
        </w:rPr>
        <w:t>8</w:t>
      </w:r>
      <w:r>
        <w:rPr>
          <w:rFonts w:hint="eastAsia" w:cs="宋体" w:asciiTheme="minorEastAsia" w:hAnsiTheme="minorEastAsia" w:eastAsiaTheme="minorEastAsia"/>
          <w:kern w:val="0"/>
          <w:shd w:val="clear" w:color="auto" w:fill="FFFFFF"/>
        </w:rPr>
        <w:t>：</w:t>
      </w:r>
      <w:r>
        <w:rPr>
          <w:rFonts w:hint="eastAsia" w:cs="宋体" w:asciiTheme="minorEastAsia" w:hAnsiTheme="minorEastAsia" w:eastAsiaTheme="minorEastAsia"/>
          <w:kern w:val="0"/>
          <w:u w:val="single"/>
          <w:shd w:val="clear" w:color="auto" w:fill="FFFFFF"/>
          <w:lang w:val="en-US" w:eastAsia="zh-CN"/>
        </w:rPr>
        <w:t>00</w:t>
      </w:r>
      <w:r>
        <w:rPr>
          <w:rFonts w:hint="eastAsia" w:cs="宋体" w:asciiTheme="minorEastAsia" w:hAnsiTheme="minorEastAsia" w:eastAsiaTheme="minorEastAsia"/>
          <w:kern w:val="0"/>
          <w:shd w:val="clear" w:color="auto" w:fill="FFFFFF"/>
        </w:rPr>
        <w:t xml:space="preserve"> -</w:t>
      </w:r>
      <w:r>
        <w:rPr>
          <w:rFonts w:hint="eastAsia" w:cs="宋体" w:asciiTheme="minorEastAsia" w:hAnsiTheme="minorEastAsia" w:eastAsiaTheme="minorEastAsia"/>
          <w:kern w:val="0"/>
          <w:u w:val="single"/>
          <w:shd w:val="clear" w:color="auto" w:fill="FFFFFF"/>
        </w:rPr>
        <w:t xml:space="preserve"> </w:t>
      </w:r>
      <w:r>
        <w:rPr>
          <w:rFonts w:hint="eastAsia" w:cs="宋体" w:asciiTheme="minorEastAsia" w:hAnsiTheme="minorEastAsia" w:eastAsiaTheme="minorEastAsia"/>
          <w:kern w:val="0"/>
          <w:u w:val="single"/>
          <w:shd w:val="clear" w:color="auto" w:fill="FFFFFF"/>
          <w:lang w:val="en-US" w:eastAsia="zh-CN"/>
        </w:rPr>
        <w:t>18</w:t>
      </w:r>
      <w:r>
        <w:rPr>
          <w:rFonts w:hint="eastAsia" w:cs="宋体" w:asciiTheme="minorEastAsia" w:hAnsiTheme="minorEastAsia" w:eastAsiaTheme="minorEastAsia"/>
          <w:kern w:val="0"/>
          <w:shd w:val="clear" w:color="auto" w:fill="FFFFFF"/>
        </w:rPr>
        <w:t>：</w:t>
      </w:r>
      <w:r>
        <w:rPr>
          <w:rFonts w:hint="eastAsia" w:cs="宋体" w:asciiTheme="minorEastAsia" w:hAnsiTheme="minorEastAsia" w:eastAsiaTheme="minorEastAsia"/>
          <w:kern w:val="0"/>
          <w:u w:val="single"/>
          <w:shd w:val="clear" w:color="auto" w:fill="FFFFFF"/>
          <w:lang w:val="en-US" w:eastAsia="zh-CN"/>
        </w:rPr>
        <w:t>00</w:t>
      </w:r>
      <w:r>
        <w:rPr>
          <w:rFonts w:hint="eastAsia" w:cs="宋体" w:asciiTheme="minorEastAsia" w:hAnsiTheme="minorEastAsia" w:eastAsiaTheme="minorEastAsia"/>
          <w:kern w:val="0"/>
          <w:shd w:val="clear" w:color="auto" w:fill="FFFFFF"/>
        </w:rPr>
        <w:t>）</w:t>
      </w:r>
    </w:p>
    <w:p>
      <w:pPr>
        <w:pStyle w:val="28"/>
        <w:numPr>
          <w:ilvl w:val="1"/>
          <w:numId w:val="10"/>
        </w:numPr>
        <w:ind w:firstLineChars="0"/>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报名时需提交的资料：供应商营业执照复印件（需加盖供应商公章），单位介绍信原件。</w:t>
      </w:r>
    </w:p>
    <w:p>
      <w:pPr>
        <w:pStyle w:val="28"/>
        <w:numPr>
          <w:ilvl w:val="1"/>
          <w:numId w:val="10"/>
        </w:numPr>
        <w:ind w:firstLineChars="0"/>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报名地点：巴中市妇幼保健院</w:t>
      </w:r>
      <w:r>
        <w:rPr>
          <w:rFonts w:hint="eastAsia" w:cs="宋体" w:asciiTheme="minorEastAsia" w:hAnsiTheme="minorEastAsia" w:eastAsiaTheme="minorEastAsia"/>
          <w:kern w:val="0"/>
          <w:shd w:val="clear" w:color="auto" w:fill="FFFFFF"/>
          <w:lang w:eastAsia="zh-CN"/>
        </w:rPr>
        <w:t>设备</w:t>
      </w:r>
      <w:r>
        <w:rPr>
          <w:rFonts w:hint="eastAsia" w:cs="宋体" w:asciiTheme="minorEastAsia" w:hAnsiTheme="minorEastAsia" w:eastAsiaTheme="minorEastAsia"/>
          <w:kern w:val="0"/>
          <w:shd w:val="clear" w:color="auto" w:fill="FFFFFF"/>
        </w:rPr>
        <w:t>科。</w:t>
      </w:r>
    </w:p>
    <w:p>
      <w:pPr>
        <w:pStyle w:val="28"/>
        <w:numPr>
          <w:ilvl w:val="1"/>
          <w:numId w:val="10"/>
        </w:numPr>
        <w:ind w:firstLineChars="0"/>
        <w:rPr>
          <w:rFonts w:cs="宋体" w:asciiTheme="minorEastAsia" w:hAnsiTheme="minorEastAsia" w:eastAsiaTheme="minorEastAsia"/>
          <w:kern w:val="0"/>
          <w:shd w:val="clear" w:color="auto" w:fill="FFFFFF"/>
        </w:rPr>
      </w:pPr>
      <w:r>
        <w:rPr>
          <w:rFonts w:hint="eastAsia" w:cs="宋体" w:asciiTheme="minorEastAsia" w:hAnsiTheme="minorEastAsia" w:eastAsiaTheme="minorEastAsia"/>
          <w:kern w:val="0"/>
          <w:shd w:val="clear" w:color="auto" w:fill="FFFFFF"/>
        </w:rPr>
        <w:t>递交响应文件截止时间：2020年</w:t>
      </w:r>
      <w:r>
        <w:rPr>
          <w:rFonts w:hint="eastAsia" w:cs="宋体" w:asciiTheme="minorEastAsia" w:hAnsiTheme="minorEastAsia" w:eastAsiaTheme="minorEastAsia"/>
          <w:kern w:val="0"/>
          <w:u w:val="single"/>
          <w:shd w:val="clear" w:color="auto" w:fill="FFFFFF"/>
          <w:lang w:val="en-US" w:eastAsia="zh-CN"/>
        </w:rPr>
        <w:t>04</w:t>
      </w:r>
      <w:r>
        <w:rPr>
          <w:rFonts w:hint="eastAsia" w:cs="宋体" w:asciiTheme="minorEastAsia" w:hAnsiTheme="minorEastAsia" w:eastAsiaTheme="minorEastAsia"/>
          <w:kern w:val="0"/>
          <w:shd w:val="clear" w:color="auto" w:fill="FFFFFF"/>
        </w:rPr>
        <w:t>月</w:t>
      </w:r>
      <w:r>
        <w:rPr>
          <w:rFonts w:hint="eastAsia" w:cs="宋体" w:asciiTheme="minorEastAsia" w:hAnsiTheme="minorEastAsia" w:eastAsiaTheme="minorEastAsia"/>
          <w:kern w:val="0"/>
          <w:u w:val="single"/>
          <w:shd w:val="clear" w:color="auto" w:fill="FFFFFF"/>
          <w:lang w:val="en-US" w:eastAsia="zh-CN"/>
        </w:rPr>
        <w:t>22</w:t>
      </w:r>
      <w:r>
        <w:rPr>
          <w:rFonts w:hint="eastAsia" w:cs="宋体" w:asciiTheme="minorEastAsia" w:hAnsiTheme="minorEastAsia" w:eastAsiaTheme="minorEastAsia"/>
          <w:kern w:val="0"/>
          <w:shd w:val="clear" w:color="auto" w:fill="FFFFFF"/>
        </w:rPr>
        <w:t>日</w:t>
      </w:r>
      <w:r>
        <w:rPr>
          <w:rFonts w:hint="eastAsia" w:cs="宋体" w:asciiTheme="minorEastAsia" w:hAnsiTheme="minorEastAsia" w:eastAsiaTheme="minorEastAsia"/>
          <w:kern w:val="0"/>
          <w:u w:val="single"/>
          <w:shd w:val="clear" w:color="auto" w:fill="FFFFFF"/>
          <w:lang w:val="en-US" w:eastAsia="zh-CN"/>
        </w:rPr>
        <w:t>18</w:t>
      </w:r>
      <w:r>
        <w:rPr>
          <w:rFonts w:hint="eastAsia" w:cs="宋体" w:asciiTheme="minorEastAsia" w:hAnsiTheme="minorEastAsia" w:eastAsiaTheme="minorEastAsia"/>
          <w:kern w:val="0"/>
          <w:shd w:val="clear" w:color="auto" w:fill="FFFFFF"/>
        </w:rPr>
        <w:t>：</w:t>
      </w:r>
      <w:r>
        <w:rPr>
          <w:rFonts w:hint="eastAsia" w:cs="宋体" w:asciiTheme="minorEastAsia" w:hAnsiTheme="minorEastAsia" w:eastAsiaTheme="minorEastAsia"/>
          <w:kern w:val="0"/>
          <w:u w:val="single"/>
          <w:shd w:val="clear" w:color="auto" w:fill="FFFFFF"/>
          <w:lang w:val="en-US" w:eastAsia="zh-CN"/>
        </w:rPr>
        <w:t>00</w:t>
      </w:r>
      <w:r>
        <w:rPr>
          <w:rFonts w:hint="eastAsia" w:cs="宋体" w:asciiTheme="minorEastAsia" w:hAnsiTheme="minorEastAsia" w:eastAsiaTheme="minorEastAsia"/>
          <w:kern w:val="0"/>
          <w:shd w:val="clear" w:color="auto" w:fill="FFFFFF"/>
        </w:rPr>
        <w:t>。</w:t>
      </w:r>
    </w:p>
    <w:p>
      <w:pPr>
        <w:pStyle w:val="28"/>
        <w:numPr>
          <w:ilvl w:val="1"/>
          <w:numId w:val="10"/>
        </w:numPr>
        <w:ind w:firstLineChars="0"/>
        <w:rPr>
          <w:rFonts w:hint="eastAsia" w:cs="宋体" w:asciiTheme="minorEastAsia" w:hAnsiTheme="minorEastAsia" w:eastAsiaTheme="minorEastAsia"/>
          <w:kern w:val="0"/>
          <w:sz w:val="24"/>
          <w:szCs w:val="24"/>
          <w:shd w:val="clear" w:color="auto" w:fill="FFFFFF"/>
          <w:lang w:val="en-US" w:eastAsia="zh-CN" w:bidi="ar-SA"/>
        </w:rPr>
      </w:pPr>
      <w:r>
        <w:rPr>
          <w:rFonts w:hint="eastAsia" w:cs="宋体" w:asciiTheme="minorEastAsia" w:hAnsiTheme="minorEastAsia" w:eastAsiaTheme="minorEastAsia"/>
          <w:kern w:val="0"/>
          <w:shd w:val="clear" w:color="auto" w:fill="FFFFFF"/>
        </w:rPr>
        <w:t>联系人：</w:t>
      </w:r>
      <w:r>
        <w:rPr>
          <w:rFonts w:hint="eastAsia" w:cs="宋体" w:asciiTheme="minorEastAsia" w:hAnsiTheme="minorEastAsia" w:eastAsiaTheme="minorEastAsia"/>
          <w:kern w:val="0"/>
          <w:shd w:val="clear" w:color="auto" w:fill="FFFFFF"/>
          <w:lang w:eastAsia="zh-CN"/>
        </w:rPr>
        <w:t>崔曲</w:t>
      </w:r>
      <w:r>
        <w:rPr>
          <w:rFonts w:hint="eastAsia" w:cs="宋体" w:asciiTheme="minorEastAsia" w:hAnsiTheme="minorEastAsia" w:eastAsiaTheme="minorEastAsia"/>
          <w:kern w:val="0"/>
          <w:shd w:val="clear" w:color="auto" w:fill="FFFFFF"/>
        </w:rPr>
        <w:t>，联系电话：</w:t>
      </w:r>
      <w:r>
        <w:rPr>
          <w:rFonts w:hint="eastAsia" w:cs="宋体" w:asciiTheme="minorEastAsia" w:hAnsiTheme="minorEastAsia" w:eastAsiaTheme="minorEastAsia"/>
          <w:kern w:val="0"/>
          <w:shd w:val="clear" w:color="auto" w:fill="FFFFFF"/>
          <w:lang w:val="en-US" w:eastAsia="zh-CN"/>
        </w:rPr>
        <w:t>13989148886</w:t>
      </w:r>
      <w:r>
        <w:rPr>
          <w:rFonts w:hint="eastAsia" w:cs="宋体" w:asciiTheme="minorEastAsia" w:hAnsiTheme="minorEastAsia" w:eastAsiaTheme="minorEastAsia"/>
          <w:kern w:val="0"/>
          <w:shd w:val="clear" w:color="auto" w:fill="FFFFFF"/>
        </w:rPr>
        <w:t>。</w:t>
      </w:r>
    </w:p>
    <w:p>
      <w:pPr>
        <w:pStyle w:val="28"/>
        <w:numPr>
          <w:ilvl w:val="1"/>
          <w:numId w:val="10"/>
        </w:numPr>
        <w:ind w:firstLineChars="0"/>
        <w:rPr>
          <w:rFonts w:hint="eastAsia" w:cs="宋体" w:asciiTheme="minorEastAsia" w:hAnsiTheme="minorEastAsia" w:eastAsiaTheme="minorEastAsia"/>
          <w:kern w:val="0"/>
          <w:sz w:val="24"/>
          <w:szCs w:val="24"/>
          <w:shd w:val="clear" w:color="auto" w:fill="FFFFFF"/>
          <w:lang w:val="en-US" w:eastAsia="zh-CN" w:bidi="ar-SA"/>
        </w:rPr>
      </w:pPr>
      <w:r>
        <w:rPr>
          <w:rFonts w:hint="eastAsia" w:cs="宋体" w:asciiTheme="minorEastAsia" w:hAnsiTheme="minorEastAsia" w:eastAsiaTheme="minorEastAsia"/>
          <w:kern w:val="0"/>
          <w:shd w:val="clear" w:color="auto" w:fill="FFFFFF"/>
          <w:lang w:eastAsia="zh-CN"/>
        </w:rPr>
        <w:t>开标时间根据我院会议时间确定。</w:t>
      </w:r>
    </w:p>
    <w:p>
      <w:pPr>
        <w:pStyle w:val="28"/>
        <w:numPr>
          <w:ilvl w:val="0"/>
          <w:numId w:val="0"/>
        </w:numPr>
        <w:ind w:left="420" w:leftChars="0" w:firstLine="4080" w:firstLineChars="1700"/>
        <w:rPr>
          <w:rFonts w:hint="eastAsia" w:cs="宋体" w:asciiTheme="minorEastAsia" w:hAnsiTheme="minorEastAsia" w:eastAsiaTheme="minorEastAsia"/>
          <w:kern w:val="0"/>
          <w:shd w:val="clear" w:color="auto" w:fill="FFFFFF"/>
          <w:lang w:eastAsia="zh-CN"/>
        </w:rPr>
      </w:pPr>
    </w:p>
    <w:p>
      <w:pPr>
        <w:pStyle w:val="28"/>
        <w:numPr>
          <w:ilvl w:val="0"/>
          <w:numId w:val="0"/>
        </w:numPr>
        <w:ind w:left="420" w:leftChars="0" w:firstLine="4080" w:firstLineChars="1700"/>
        <w:rPr>
          <w:rFonts w:hint="eastAsia" w:cs="宋体" w:asciiTheme="minorEastAsia" w:hAnsiTheme="minorEastAsia" w:eastAsiaTheme="minorEastAsia"/>
          <w:kern w:val="0"/>
          <w:sz w:val="24"/>
          <w:szCs w:val="24"/>
          <w:shd w:val="clear" w:color="auto" w:fill="FFFFFF"/>
          <w:lang w:val="en-US" w:eastAsia="zh-CN" w:bidi="ar-SA"/>
        </w:rPr>
      </w:pPr>
      <w:r>
        <w:rPr>
          <w:rFonts w:hint="eastAsia" w:cs="宋体" w:asciiTheme="minorEastAsia" w:hAnsiTheme="minorEastAsia" w:eastAsiaTheme="minorEastAsia"/>
          <w:kern w:val="0"/>
          <w:shd w:val="clear" w:color="auto" w:fill="FFFFFF"/>
          <w:lang w:eastAsia="zh-CN"/>
        </w:rPr>
        <w:t>巴中市妇幼保健院</w:t>
      </w:r>
    </w:p>
    <w:p>
      <w:pPr>
        <w:pStyle w:val="28"/>
        <w:numPr>
          <w:ilvl w:val="0"/>
          <w:numId w:val="0"/>
        </w:numPr>
        <w:ind w:firstLine="4480" w:firstLineChars="1600"/>
        <w:rPr>
          <w:rFonts w:asciiTheme="minorEastAsia" w:hAnsiTheme="minorEastAsia" w:eastAsiaTheme="minorEastAsia"/>
          <w:sz w:val="28"/>
          <w:shd w:val="clear" w:color="auto" w:fill="FFFFFF"/>
        </w:rPr>
      </w:pPr>
      <w:r>
        <w:rPr>
          <w:rFonts w:hint="eastAsia" w:asciiTheme="minorEastAsia" w:hAnsiTheme="minorEastAsia" w:eastAsiaTheme="minorEastAsia"/>
          <w:sz w:val="28"/>
          <w:shd w:val="clear" w:color="auto" w:fill="FFFFFF"/>
        </w:rPr>
        <w:t>2020年</w:t>
      </w:r>
      <w:r>
        <w:rPr>
          <w:rFonts w:hint="eastAsia" w:asciiTheme="minorEastAsia" w:hAnsiTheme="minorEastAsia" w:eastAsiaTheme="minorEastAsia"/>
          <w:sz w:val="28"/>
          <w:shd w:val="clear" w:color="auto" w:fill="FFFFFF"/>
          <w:lang w:val="en-US" w:eastAsia="zh-CN"/>
        </w:rPr>
        <w:t>04</w:t>
      </w:r>
      <w:r>
        <w:rPr>
          <w:rFonts w:hint="eastAsia" w:asciiTheme="minorEastAsia" w:hAnsiTheme="minorEastAsia" w:eastAsiaTheme="minorEastAsia"/>
          <w:sz w:val="28"/>
          <w:shd w:val="clear" w:color="auto" w:fill="FFFFFF"/>
        </w:rPr>
        <w:t>月</w:t>
      </w:r>
      <w:r>
        <w:rPr>
          <w:rFonts w:hint="eastAsia" w:asciiTheme="minorEastAsia" w:hAnsiTheme="minorEastAsia" w:eastAsiaTheme="minorEastAsia"/>
          <w:sz w:val="28"/>
          <w:shd w:val="clear" w:color="auto" w:fill="FFFFFF"/>
          <w:lang w:val="en-US" w:eastAsia="zh-CN"/>
        </w:rPr>
        <w:t>16</w:t>
      </w:r>
      <w:r>
        <w:rPr>
          <w:rFonts w:hint="eastAsia" w:asciiTheme="minorEastAsia" w:hAnsiTheme="minorEastAsia" w:eastAsiaTheme="minorEastAsia"/>
          <w:sz w:val="28"/>
          <w:shd w:val="clear" w:color="auto" w:fill="FFFFFF"/>
        </w:rPr>
        <w:t>日</w:t>
      </w:r>
      <w:r>
        <w:rPr>
          <w:rFonts w:asciiTheme="minorEastAsia" w:hAnsiTheme="minorEastAsia" w:eastAsiaTheme="minorEastAsia"/>
        </w:rPr>
        <w:br w:type="page"/>
      </w:r>
    </w:p>
    <w:p>
      <w:pPr>
        <w:jc w:val="left"/>
        <w:rPr>
          <w:rFonts w:asciiTheme="minorEastAsia" w:hAnsiTheme="minorEastAsia" w:eastAsiaTheme="minorEastAsia"/>
        </w:rPr>
      </w:pPr>
      <w:r>
        <w:rPr>
          <w:rFonts w:hint="eastAsia" w:asciiTheme="minorEastAsia" w:hAnsiTheme="minorEastAsia" w:eastAsiaTheme="minorEastAsia"/>
        </w:rPr>
        <w:t>附：报价单格式</w:t>
      </w:r>
    </w:p>
    <w:p>
      <w:pPr>
        <w:jc w:val="left"/>
        <w:rPr>
          <w:rFonts w:asciiTheme="minorEastAsia" w:hAnsiTheme="minorEastAsia" w:eastAsiaTheme="minorEastAsia"/>
        </w:rPr>
      </w:pPr>
      <w:r>
        <w:rPr>
          <w:rFonts w:hint="eastAsia" w:asciiTheme="minorEastAsia" w:hAnsiTheme="minorEastAsia" w:eastAsiaTheme="minorEastAsia"/>
          <w:szCs w:val="30"/>
        </w:rPr>
        <w:t>微柱凝胶卡及配套耗材报价：</w:t>
      </w:r>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689"/>
        <w:gridCol w:w="1028"/>
        <w:gridCol w:w="1751"/>
        <w:gridCol w:w="1302"/>
        <w:gridCol w:w="1043"/>
        <w:gridCol w:w="1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666"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序号</w:t>
            </w:r>
          </w:p>
        </w:tc>
        <w:tc>
          <w:tcPr>
            <w:tcW w:w="1689"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产品名称</w:t>
            </w:r>
          </w:p>
        </w:tc>
        <w:tc>
          <w:tcPr>
            <w:tcW w:w="1028"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规格型号</w:t>
            </w:r>
          </w:p>
        </w:tc>
        <w:tc>
          <w:tcPr>
            <w:tcW w:w="1751"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生产厂家</w:t>
            </w:r>
          </w:p>
        </w:tc>
        <w:tc>
          <w:tcPr>
            <w:tcW w:w="1302"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人份报价</w:t>
            </w:r>
          </w:p>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（元/人份）</w:t>
            </w:r>
          </w:p>
        </w:tc>
        <w:tc>
          <w:tcPr>
            <w:tcW w:w="1043"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挂网流水号</w:t>
            </w:r>
          </w:p>
        </w:tc>
        <w:tc>
          <w:tcPr>
            <w:tcW w:w="1043"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 w:type="dxa"/>
          </w:tcPr>
          <w:p>
            <w:pPr>
              <w:jc w:val="left"/>
              <w:rPr>
                <w:rFonts w:asciiTheme="minorEastAsia" w:hAnsiTheme="minorEastAsia" w:eastAsiaTheme="minorEastAsia"/>
                <w:sz w:val="22"/>
                <w:szCs w:val="22"/>
              </w:rPr>
            </w:pPr>
          </w:p>
        </w:tc>
        <w:tc>
          <w:tcPr>
            <w:tcW w:w="1689" w:type="dxa"/>
          </w:tcPr>
          <w:p>
            <w:pPr>
              <w:jc w:val="left"/>
              <w:rPr>
                <w:rFonts w:asciiTheme="minorEastAsia" w:hAnsiTheme="minorEastAsia" w:eastAsiaTheme="minorEastAsia"/>
                <w:sz w:val="22"/>
                <w:szCs w:val="22"/>
              </w:rPr>
            </w:pPr>
          </w:p>
        </w:tc>
        <w:tc>
          <w:tcPr>
            <w:tcW w:w="1028" w:type="dxa"/>
          </w:tcPr>
          <w:p>
            <w:pPr>
              <w:jc w:val="left"/>
              <w:rPr>
                <w:rFonts w:asciiTheme="minorEastAsia" w:hAnsiTheme="minorEastAsia" w:eastAsiaTheme="minorEastAsia"/>
                <w:sz w:val="22"/>
                <w:szCs w:val="22"/>
              </w:rPr>
            </w:pPr>
          </w:p>
        </w:tc>
        <w:tc>
          <w:tcPr>
            <w:tcW w:w="1751" w:type="dxa"/>
          </w:tcPr>
          <w:p>
            <w:pPr>
              <w:jc w:val="left"/>
              <w:rPr>
                <w:rFonts w:asciiTheme="minorEastAsia" w:hAnsiTheme="minorEastAsia" w:eastAsiaTheme="minorEastAsia"/>
                <w:sz w:val="22"/>
                <w:szCs w:val="22"/>
              </w:rPr>
            </w:pPr>
          </w:p>
        </w:tc>
        <w:tc>
          <w:tcPr>
            <w:tcW w:w="1302"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 w:type="dxa"/>
          </w:tcPr>
          <w:p>
            <w:pPr>
              <w:jc w:val="left"/>
              <w:rPr>
                <w:rFonts w:asciiTheme="minorEastAsia" w:hAnsiTheme="minorEastAsia" w:eastAsiaTheme="minorEastAsia"/>
                <w:sz w:val="22"/>
                <w:szCs w:val="22"/>
              </w:rPr>
            </w:pPr>
          </w:p>
        </w:tc>
        <w:tc>
          <w:tcPr>
            <w:tcW w:w="1689" w:type="dxa"/>
          </w:tcPr>
          <w:p>
            <w:pPr>
              <w:jc w:val="left"/>
              <w:rPr>
                <w:rFonts w:asciiTheme="minorEastAsia" w:hAnsiTheme="minorEastAsia" w:eastAsiaTheme="minorEastAsia"/>
                <w:sz w:val="22"/>
                <w:szCs w:val="22"/>
              </w:rPr>
            </w:pPr>
          </w:p>
        </w:tc>
        <w:tc>
          <w:tcPr>
            <w:tcW w:w="1028" w:type="dxa"/>
          </w:tcPr>
          <w:p>
            <w:pPr>
              <w:jc w:val="left"/>
              <w:rPr>
                <w:rFonts w:asciiTheme="minorEastAsia" w:hAnsiTheme="minorEastAsia" w:eastAsiaTheme="minorEastAsia"/>
                <w:sz w:val="22"/>
                <w:szCs w:val="22"/>
              </w:rPr>
            </w:pPr>
          </w:p>
        </w:tc>
        <w:tc>
          <w:tcPr>
            <w:tcW w:w="1751" w:type="dxa"/>
          </w:tcPr>
          <w:p>
            <w:pPr>
              <w:jc w:val="left"/>
              <w:rPr>
                <w:rFonts w:asciiTheme="minorEastAsia" w:hAnsiTheme="minorEastAsia" w:eastAsiaTheme="minorEastAsia"/>
                <w:sz w:val="22"/>
                <w:szCs w:val="22"/>
              </w:rPr>
            </w:pPr>
          </w:p>
        </w:tc>
        <w:tc>
          <w:tcPr>
            <w:tcW w:w="1302"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 w:type="dxa"/>
          </w:tcPr>
          <w:p>
            <w:pPr>
              <w:jc w:val="left"/>
              <w:rPr>
                <w:rFonts w:asciiTheme="minorEastAsia" w:hAnsiTheme="minorEastAsia" w:eastAsiaTheme="minorEastAsia"/>
                <w:sz w:val="22"/>
                <w:szCs w:val="22"/>
              </w:rPr>
            </w:pPr>
          </w:p>
        </w:tc>
        <w:tc>
          <w:tcPr>
            <w:tcW w:w="1689" w:type="dxa"/>
          </w:tcPr>
          <w:p>
            <w:pPr>
              <w:jc w:val="left"/>
              <w:rPr>
                <w:rFonts w:asciiTheme="minorEastAsia" w:hAnsiTheme="minorEastAsia" w:eastAsiaTheme="minorEastAsia"/>
                <w:sz w:val="22"/>
                <w:szCs w:val="22"/>
              </w:rPr>
            </w:pPr>
          </w:p>
        </w:tc>
        <w:tc>
          <w:tcPr>
            <w:tcW w:w="1028" w:type="dxa"/>
          </w:tcPr>
          <w:p>
            <w:pPr>
              <w:jc w:val="left"/>
              <w:rPr>
                <w:rFonts w:asciiTheme="minorEastAsia" w:hAnsiTheme="minorEastAsia" w:eastAsiaTheme="minorEastAsia"/>
                <w:sz w:val="22"/>
                <w:szCs w:val="22"/>
              </w:rPr>
            </w:pPr>
          </w:p>
        </w:tc>
        <w:tc>
          <w:tcPr>
            <w:tcW w:w="1751" w:type="dxa"/>
          </w:tcPr>
          <w:p>
            <w:pPr>
              <w:jc w:val="left"/>
              <w:rPr>
                <w:rFonts w:asciiTheme="minorEastAsia" w:hAnsiTheme="minorEastAsia" w:eastAsiaTheme="minorEastAsia"/>
                <w:sz w:val="22"/>
                <w:szCs w:val="22"/>
              </w:rPr>
            </w:pPr>
          </w:p>
        </w:tc>
        <w:tc>
          <w:tcPr>
            <w:tcW w:w="1302"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 w:type="dxa"/>
          </w:tcPr>
          <w:p>
            <w:pPr>
              <w:jc w:val="left"/>
              <w:rPr>
                <w:rFonts w:asciiTheme="minorEastAsia" w:hAnsiTheme="minorEastAsia" w:eastAsiaTheme="minorEastAsia"/>
                <w:sz w:val="22"/>
                <w:szCs w:val="22"/>
              </w:rPr>
            </w:pPr>
          </w:p>
        </w:tc>
        <w:tc>
          <w:tcPr>
            <w:tcW w:w="1689" w:type="dxa"/>
          </w:tcPr>
          <w:p>
            <w:pPr>
              <w:jc w:val="left"/>
              <w:rPr>
                <w:rFonts w:asciiTheme="minorEastAsia" w:hAnsiTheme="minorEastAsia" w:eastAsiaTheme="minorEastAsia"/>
                <w:sz w:val="22"/>
                <w:szCs w:val="22"/>
              </w:rPr>
            </w:pPr>
          </w:p>
        </w:tc>
        <w:tc>
          <w:tcPr>
            <w:tcW w:w="1028" w:type="dxa"/>
          </w:tcPr>
          <w:p>
            <w:pPr>
              <w:jc w:val="left"/>
              <w:rPr>
                <w:rFonts w:asciiTheme="minorEastAsia" w:hAnsiTheme="minorEastAsia" w:eastAsiaTheme="minorEastAsia"/>
                <w:sz w:val="22"/>
                <w:szCs w:val="22"/>
              </w:rPr>
            </w:pPr>
          </w:p>
        </w:tc>
        <w:tc>
          <w:tcPr>
            <w:tcW w:w="1751" w:type="dxa"/>
          </w:tcPr>
          <w:p>
            <w:pPr>
              <w:jc w:val="left"/>
              <w:rPr>
                <w:rFonts w:asciiTheme="minorEastAsia" w:hAnsiTheme="minorEastAsia" w:eastAsiaTheme="minorEastAsia"/>
                <w:sz w:val="22"/>
                <w:szCs w:val="22"/>
              </w:rPr>
            </w:pPr>
          </w:p>
        </w:tc>
        <w:tc>
          <w:tcPr>
            <w:tcW w:w="1302"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 w:type="dxa"/>
          </w:tcPr>
          <w:p>
            <w:pPr>
              <w:jc w:val="left"/>
              <w:rPr>
                <w:rFonts w:asciiTheme="minorEastAsia" w:hAnsiTheme="minorEastAsia" w:eastAsiaTheme="minorEastAsia"/>
                <w:sz w:val="22"/>
                <w:szCs w:val="22"/>
              </w:rPr>
            </w:pPr>
          </w:p>
        </w:tc>
        <w:tc>
          <w:tcPr>
            <w:tcW w:w="1689" w:type="dxa"/>
          </w:tcPr>
          <w:p>
            <w:pPr>
              <w:jc w:val="left"/>
              <w:rPr>
                <w:rFonts w:asciiTheme="minorEastAsia" w:hAnsiTheme="minorEastAsia" w:eastAsiaTheme="minorEastAsia"/>
                <w:sz w:val="22"/>
                <w:szCs w:val="22"/>
              </w:rPr>
            </w:pPr>
          </w:p>
        </w:tc>
        <w:tc>
          <w:tcPr>
            <w:tcW w:w="1028" w:type="dxa"/>
          </w:tcPr>
          <w:p>
            <w:pPr>
              <w:jc w:val="left"/>
              <w:rPr>
                <w:rFonts w:asciiTheme="minorEastAsia" w:hAnsiTheme="minorEastAsia" w:eastAsiaTheme="minorEastAsia"/>
                <w:sz w:val="22"/>
                <w:szCs w:val="22"/>
              </w:rPr>
            </w:pPr>
          </w:p>
        </w:tc>
        <w:tc>
          <w:tcPr>
            <w:tcW w:w="1751" w:type="dxa"/>
          </w:tcPr>
          <w:p>
            <w:pPr>
              <w:jc w:val="left"/>
              <w:rPr>
                <w:rFonts w:asciiTheme="minorEastAsia" w:hAnsiTheme="minorEastAsia" w:eastAsiaTheme="minorEastAsia"/>
                <w:sz w:val="22"/>
                <w:szCs w:val="22"/>
              </w:rPr>
            </w:pPr>
          </w:p>
        </w:tc>
        <w:tc>
          <w:tcPr>
            <w:tcW w:w="1302"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 w:type="dxa"/>
          </w:tcPr>
          <w:p>
            <w:pPr>
              <w:jc w:val="left"/>
              <w:rPr>
                <w:rFonts w:asciiTheme="minorEastAsia" w:hAnsiTheme="minorEastAsia" w:eastAsiaTheme="minorEastAsia"/>
                <w:sz w:val="22"/>
                <w:szCs w:val="22"/>
              </w:rPr>
            </w:pPr>
          </w:p>
        </w:tc>
        <w:tc>
          <w:tcPr>
            <w:tcW w:w="1689" w:type="dxa"/>
          </w:tcPr>
          <w:p>
            <w:pPr>
              <w:jc w:val="left"/>
              <w:rPr>
                <w:rFonts w:asciiTheme="minorEastAsia" w:hAnsiTheme="minorEastAsia" w:eastAsiaTheme="minorEastAsia"/>
                <w:sz w:val="22"/>
                <w:szCs w:val="22"/>
              </w:rPr>
            </w:pPr>
          </w:p>
        </w:tc>
        <w:tc>
          <w:tcPr>
            <w:tcW w:w="1028" w:type="dxa"/>
          </w:tcPr>
          <w:p>
            <w:pPr>
              <w:jc w:val="left"/>
              <w:rPr>
                <w:rFonts w:asciiTheme="minorEastAsia" w:hAnsiTheme="minorEastAsia" w:eastAsiaTheme="minorEastAsia"/>
                <w:sz w:val="22"/>
                <w:szCs w:val="22"/>
              </w:rPr>
            </w:pPr>
          </w:p>
        </w:tc>
        <w:tc>
          <w:tcPr>
            <w:tcW w:w="1751" w:type="dxa"/>
          </w:tcPr>
          <w:p>
            <w:pPr>
              <w:jc w:val="left"/>
              <w:rPr>
                <w:rFonts w:asciiTheme="minorEastAsia" w:hAnsiTheme="minorEastAsia" w:eastAsiaTheme="minorEastAsia"/>
                <w:sz w:val="22"/>
                <w:szCs w:val="22"/>
              </w:rPr>
            </w:pPr>
          </w:p>
        </w:tc>
        <w:tc>
          <w:tcPr>
            <w:tcW w:w="1302"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c>
          <w:tcPr>
            <w:tcW w:w="1043"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22" w:type="dxa"/>
            <w:gridSpan w:val="7"/>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报价合计（元）：小写                  大写：</w:t>
            </w:r>
          </w:p>
        </w:tc>
      </w:tr>
    </w:tbl>
    <w:p>
      <w:pPr>
        <w:jc w:val="left"/>
        <w:rPr>
          <w:rFonts w:asciiTheme="minorEastAsia" w:hAnsiTheme="minorEastAsia" w:eastAsiaTheme="minorEastAsia"/>
        </w:rPr>
      </w:pPr>
    </w:p>
    <w:p>
      <w:pPr>
        <w:jc w:val="left"/>
        <w:rPr>
          <w:rFonts w:asciiTheme="minorEastAsia" w:hAnsiTheme="minorEastAsia" w:eastAsiaTheme="minorEastAsia"/>
        </w:rPr>
      </w:pPr>
      <w:r>
        <w:rPr>
          <w:rFonts w:hint="eastAsia" w:asciiTheme="minorEastAsia" w:hAnsiTheme="minorEastAsia" w:eastAsiaTheme="minorEastAsia"/>
        </w:rPr>
        <w:t>配套设备报价：</w:t>
      </w:r>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655"/>
        <w:gridCol w:w="1151"/>
        <w:gridCol w:w="1632"/>
        <w:gridCol w:w="1358"/>
        <w:gridCol w:w="1009"/>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631"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序号</w:t>
            </w:r>
          </w:p>
        </w:tc>
        <w:tc>
          <w:tcPr>
            <w:tcW w:w="1655"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产品名称</w:t>
            </w:r>
          </w:p>
        </w:tc>
        <w:tc>
          <w:tcPr>
            <w:tcW w:w="1151"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规格型号</w:t>
            </w:r>
          </w:p>
        </w:tc>
        <w:tc>
          <w:tcPr>
            <w:tcW w:w="1632"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生产厂家</w:t>
            </w:r>
          </w:p>
        </w:tc>
        <w:tc>
          <w:tcPr>
            <w:tcW w:w="1358"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数量</w:t>
            </w:r>
          </w:p>
        </w:tc>
        <w:tc>
          <w:tcPr>
            <w:tcW w:w="1009"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报价</w:t>
            </w:r>
          </w:p>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（元）</w:t>
            </w:r>
          </w:p>
        </w:tc>
        <w:tc>
          <w:tcPr>
            <w:tcW w:w="1086" w:type="dxa"/>
            <w:vAlign w:val="center"/>
          </w:tcPr>
          <w:p>
            <w:pPr>
              <w:spacing w:line="240" w:lineRule="auto"/>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31" w:type="dxa"/>
          </w:tcPr>
          <w:p>
            <w:pPr>
              <w:jc w:val="left"/>
              <w:rPr>
                <w:rFonts w:asciiTheme="minorEastAsia" w:hAnsiTheme="minorEastAsia" w:eastAsiaTheme="minorEastAsia"/>
                <w:sz w:val="22"/>
                <w:szCs w:val="22"/>
              </w:rPr>
            </w:pPr>
          </w:p>
        </w:tc>
        <w:tc>
          <w:tcPr>
            <w:tcW w:w="1655" w:type="dxa"/>
          </w:tcPr>
          <w:p>
            <w:pPr>
              <w:jc w:val="left"/>
              <w:rPr>
                <w:rFonts w:asciiTheme="minorEastAsia" w:hAnsiTheme="minorEastAsia" w:eastAsiaTheme="minorEastAsia"/>
                <w:sz w:val="22"/>
                <w:szCs w:val="22"/>
              </w:rPr>
            </w:pPr>
          </w:p>
        </w:tc>
        <w:tc>
          <w:tcPr>
            <w:tcW w:w="1151" w:type="dxa"/>
          </w:tcPr>
          <w:p>
            <w:pPr>
              <w:jc w:val="left"/>
              <w:rPr>
                <w:rFonts w:asciiTheme="minorEastAsia" w:hAnsiTheme="minorEastAsia" w:eastAsiaTheme="minorEastAsia"/>
                <w:sz w:val="22"/>
                <w:szCs w:val="22"/>
              </w:rPr>
            </w:pPr>
          </w:p>
        </w:tc>
        <w:tc>
          <w:tcPr>
            <w:tcW w:w="1632" w:type="dxa"/>
          </w:tcPr>
          <w:p>
            <w:pPr>
              <w:jc w:val="left"/>
              <w:rPr>
                <w:rFonts w:asciiTheme="minorEastAsia" w:hAnsiTheme="minorEastAsia" w:eastAsiaTheme="minorEastAsia"/>
                <w:sz w:val="22"/>
                <w:szCs w:val="22"/>
              </w:rPr>
            </w:pPr>
          </w:p>
        </w:tc>
        <w:tc>
          <w:tcPr>
            <w:tcW w:w="1358" w:type="dxa"/>
          </w:tcPr>
          <w:p>
            <w:pPr>
              <w:jc w:val="left"/>
              <w:rPr>
                <w:rFonts w:asciiTheme="minorEastAsia" w:hAnsiTheme="minorEastAsia" w:eastAsiaTheme="minorEastAsia"/>
                <w:sz w:val="22"/>
                <w:szCs w:val="22"/>
              </w:rPr>
            </w:pPr>
          </w:p>
        </w:tc>
        <w:tc>
          <w:tcPr>
            <w:tcW w:w="1009" w:type="dxa"/>
          </w:tcPr>
          <w:p>
            <w:pPr>
              <w:jc w:val="left"/>
              <w:rPr>
                <w:rFonts w:asciiTheme="minorEastAsia" w:hAnsiTheme="minorEastAsia" w:eastAsiaTheme="minorEastAsia"/>
                <w:sz w:val="22"/>
                <w:szCs w:val="22"/>
              </w:rPr>
            </w:pPr>
          </w:p>
        </w:tc>
        <w:tc>
          <w:tcPr>
            <w:tcW w:w="1086"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31" w:type="dxa"/>
          </w:tcPr>
          <w:p>
            <w:pPr>
              <w:jc w:val="left"/>
              <w:rPr>
                <w:rFonts w:asciiTheme="minorEastAsia" w:hAnsiTheme="minorEastAsia" w:eastAsiaTheme="minorEastAsia"/>
                <w:sz w:val="22"/>
                <w:szCs w:val="22"/>
              </w:rPr>
            </w:pPr>
          </w:p>
        </w:tc>
        <w:tc>
          <w:tcPr>
            <w:tcW w:w="1655" w:type="dxa"/>
          </w:tcPr>
          <w:p>
            <w:pPr>
              <w:jc w:val="left"/>
              <w:rPr>
                <w:rFonts w:asciiTheme="minorEastAsia" w:hAnsiTheme="minorEastAsia" w:eastAsiaTheme="minorEastAsia"/>
                <w:sz w:val="22"/>
                <w:szCs w:val="22"/>
              </w:rPr>
            </w:pPr>
          </w:p>
        </w:tc>
        <w:tc>
          <w:tcPr>
            <w:tcW w:w="1151" w:type="dxa"/>
          </w:tcPr>
          <w:p>
            <w:pPr>
              <w:jc w:val="left"/>
              <w:rPr>
                <w:rFonts w:asciiTheme="minorEastAsia" w:hAnsiTheme="minorEastAsia" w:eastAsiaTheme="minorEastAsia"/>
                <w:sz w:val="22"/>
                <w:szCs w:val="22"/>
              </w:rPr>
            </w:pPr>
          </w:p>
        </w:tc>
        <w:tc>
          <w:tcPr>
            <w:tcW w:w="1632" w:type="dxa"/>
          </w:tcPr>
          <w:p>
            <w:pPr>
              <w:jc w:val="left"/>
              <w:rPr>
                <w:rFonts w:asciiTheme="minorEastAsia" w:hAnsiTheme="minorEastAsia" w:eastAsiaTheme="minorEastAsia"/>
                <w:sz w:val="22"/>
                <w:szCs w:val="22"/>
              </w:rPr>
            </w:pPr>
          </w:p>
        </w:tc>
        <w:tc>
          <w:tcPr>
            <w:tcW w:w="1358" w:type="dxa"/>
          </w:tcPr>
          <w:p>
            <w:pPr>
              <w:jc w:val="left"/>
              <w:rPr>
                <w:rFonts w:asciiTheme="minorEastAsia" w:hAnsiTheme="minorEastAsia" w:eastAsiaTheme="minorEastAsia"/>
                <w:sz w:val="22"/>
                <w:szCs w:val="22"/>
              </w:rPr>
            </w:pPr>
          </w:p>
        </w:tc>
        <w:tc>
          <w:tcPr>
            <w:tcW w:w="1009" w:type="dxa"/>
          </w:tcPr>
          <w:p>
            <w:pPr>
              <w:jc w:val="left"/>
              <w:rPr>
                <w:rFonts w:asciiTheme="minorEastAsia" w:hAnsiTheme="minorEastAsia" w:eastAsiaTheme="minorEastAsia"/>
                <w:sz w:val="22"/>
                <w:szCs w:val="22"/>
              </w:rPr>
            </w:pPr>
          </w:p>
        </w:tc>
        <w:tc>
          <w:tcPr>
            <w:tcW w:w="1086" w:type="dxa"/>
          </w:tcPr>
          <w:p>
            <w:pPr>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22" w:type="dxa"/>
            <w:gridSpan w:val="7"/>
            <w:vAlign w:val="center"/>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报价合计（元）：小写                  大写：</w:t>
            </w:r>
          </w:p>
        </w:tc>
      </w:tr>
    </w:tbl>
    <w:p>
      <w:pPr>
        <w:jc w:val="left"/>
        <w:rPr>
          <w:rFonts w:asciiTheme="minorEastAsia" w:hAnsiTheme="minorEastAsia" w:eastAsiaTheme="minorEastAsia"/>
        </w:rPr>
      </w:pPr>
    </w:p>
    <w:p>
      <w:pPr>
        <w:jc w:val="left"/>
        <w:rPr>
          <w:rFonts w:asciiTheme="minorEastAsia" w:hAnsiTheme="minorEastAsia" w:eastAsiaTheme="minorEastAsia"/>
        </w:rPr>
      </w:pPr>
    </w:p>
    <w:p>
      <w:pPr>
        <w:wordWrap w:val="0"/>
        <w:jc w:val="right"/>
        <w:rPr>
          <w:rFonts w:asciiTheme="minorEastAsia" w:hAnsiTheme="minorEastAsia" w:eastAsiaTheme="minorEastAsia"/>
        </w:rPr>
      </w:pPr>
      <w:r>
        <w:rPr>
          <w:rFonts w:hint="eastAsia" w:asciiTheme="minorEastAsia" w:hAnsiTheme="minorEastAsia" w:eastAsiaTheme="minorEastAsia"/>
        </w:rPr>
        <w:t xml:space="preserve"> </w:t>
      </w: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07F"/>
    <w:multiLevelType w:val="multilevel"/>
    <w:tmpl w:val="0043307F"/>
    <w:lvl w:ilvl="0" w:tentative="0">
      <w:start w:val="1"/>
      <w:numFmt w:val="decimal"/>
      <w:suff w:val="nothing"/>
      <w:lvlText w:val="（%1）"/>
      <w:lvlJc w:val="left"/>
      <w:pPr>
        <w:ind w:left="0" w:firstLine="42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054974AC"/>
    <w:multiLevelType w:val="multilevel"/>
    <w:tmpl w:val="054974AC"/>
    <w:lvl w:ilvl="0" w:tentative="0">
      <w:start w:val="1"/>
      <w:numFmt w:val="decimal"/>
      <w:suff w:val="nothing"/>
      <w:lvlText w:val="（%1）"/>
      <w:lvlJc w:val="left"/>
      <w:pPr>
        <w:ind w:left="0" w:firstLine="42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16D04DE6"/>
    <w:multiLevelType w:val="multilevel"/>
    <w:tmpl w:val="16D04DE6"/>
    <w:lvl w:ilvl="0" w:tentative="0">
      <w:start w:val="1"/>
      <w:numFmt w:val="chineseCountingThousand"/>
      <w:suff w:val="nothing"/>
      <w:lvlText w:val="%1、"/>
      <w:lvlJc w:val="left"/>
      <w:pPr>
        <w:ind w:left="0" w:firstLine="0"/>
      </w:pPr>
      <w:rPr>
        <w:rFonts w:hint="eastAsia" w:eastAsia="宋体"/>
      </w:rPr>
    </w:lvl>
    <w:lvl w:ilvl="1" w:tentative="0">
      <w:start w:val="1"/>
      <w:numFmt w:val="decimal"/>
      <w:suff w:val="nothing"/>
      <w:lvlText w:val="%2、"/>
      <w:lvlJc w:val="left"/>
      <w:pPr>
        <w:ind w:left="0" w:firstLine="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3F6A140C"/>
    <w:multiLevelType w:val="multilevel"/>
    <w:tmpl w:val="3F6A140C"/>
    <w:lvl w:ilvl="0" w:tentative="0">
      <w:start w:val="1"/>
      <w:numFmt w:val="decimal"/>
      <w:suff w:val="nothing"/>
      <w:lvlText w:val="（%1）"/>
      <w:lvlJc w:val="left"/>
      <w:pPr>
        <w:ind w:left="0" w:firstLine="42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D2B77"/>
    <w:multiLevelType w:val="multilevel"/>
    <w:tmpl w:val="412D2B77"/>
    <w:lvl w:ilvl="0" w:tentative="0">
      <w:start w:val="1"/>
      <w:numFmt w:val="chineseCountingThousand"/>
      <w:suff w:val="nothing"/>
      <w:lvlText w:val="%1、"/>
      <w:lvlJc w:val="left"/>
      <w:pPr>
        <w:ind w:left="0" w:firstLine="0"/>
      </w:pPr>
      <w:rPr>
        <w:rFonts w:hint="eastAsia" w:eastAsia="宋体"/>
      </w:rPr>
    </w:lvl>
    <w:lvl w:ilvl="1" w:tentative="0">
      <w:start w:val="1"/>
      <w:numFmt w:val="chineseCountingThousand"/>
      <w:suff w:val="nothing"/>
      <w:lvlText w:val="（%2）"/>
      <w:lvlJc w:val="left"/>
      <w:pPr>
        <w:ind w:left="0" w:firstLine="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657743B6"/>
    <w:multiLevelType w:val="multilevel"/>
    <w:tmpl w:val="657743B6"/>
    <w:lvl w:ilvl="0" w:tentative="0">
      <w:start w:val="1"/>
      <w:numFmt w:val="chineseCountingThousand"/>
      <w:suff w:val="nothing"/>
      <w:lvlText w:val="%1、"/>
      <w:lvlJc w:val="left"/>
      <w:pPr>
        <w:ind w:left="0" w:firstLine="0"/>
      </w:pPr>
      <w:rPr>
        <w:rFonts w:hint="eastAsia" w:eastAsia="宋体"/>
      </w:rPr>
    </w:lvl>
    <w:lvl w:ilvl="1" w:tentative="0">
      <w:start w:val="1"/>
      <w:numFmt w:val="decimal"/>
      <w:suff w:val="nothing"/>
      <w:lvlText w:val="%2、"/>
      <w:lvlJc w:val="left"/>
      <w:pPr>
        <w:ind w:left="0" w:firstLine="42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68374C81"/>
    <w:multiLevelType w:val="multilevel"/>
    <w:tmpl w:val="68374C81"/>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76992A4A"/>
    <w:multiLevelType w:val="multilevel"/>
    <w:tmpl w:val="76992A4A"/>
    <w:lvl w:ilvl="0" w:tentative="0">
      <w:start w:val="1"/>
      <w:numFmt w:val="chineseCountingThousand"/>
      <w:suff w:val="nothing"/>
      <w:lvlText w:val="%1、"/>
      <w:lvlJc w:val="left"/>
      <w:pPr>
        <w:ind w:left="0" w:firstLine="0"/>
      </w:pPr>
      <w:rPr>
        <w:rFonts w:hint="eastAsia" w:eastAsia="宋体"/>
      </w:rPr>
    </w:lvl>
    <w:lvl w:ilvl="1" w:tentative="0">
      <w:start w:val="1"/>
      <w:numFmt w:val="chineseCountingThousand"/>
      <w:suff w:val="nothing"/>
      <w:lvlText w:val="（%2）"/>
      <w:lvlJc w:val="left"/>
      <w:pPr>
        <w:ind w:left="0" w:firstLine="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78C02BC3"/>
    <w:multiLevelType w:val="multilevel"/>
    <w:tmpl w:val="78C02BC3"/>
    <w:lvl w:ilvl="0" w:tentative="0">
      <w:start w:val="1"/>
      <w:numFmt w:val="chineseCountingThousand"/>
      <w:suff w:val="nothing"/>
      <w:lvlText w:val="%1、"/>
      <w:lvlJc w:val="left"/>
      <w:pPr>
        <w:ind w:left="0" w:firstLine="0"/>
      </w:pPr>
      <w:rPr>
        <w:rFonts w:hint="eastAsia" w:eastAsia="宋体"/>
      </w:rPr>
    </w:lvl>
    <w:lvl w:ilvl="1" w:tentative="0">
      <w:start w:val="1"/>
      <w:numFmt w:val="decimal"/>
      <w:suff w:val="nothing"/>
      <w:lvlText w:val="%2、"/>
      <w:lvlJc w:val="left"/>
      <w:pPr>
        <w:ind w:left="0" w:firstLine="42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78C873E9"/>
    <w:multiLevelType w:val="multilevel"/>
    <w:tmpl w:val="78C873E9"/>
    <w:lvl w:ilvl="0" w:tentative="0">
      <w:start w:val="1"/>
      <w:numFmt w:val="chineseCountingThousand"/>
      <w:suff w:val="nothing"/>
      <w:lvlText w:val="%1、"/>
      <w:lvlJc w:val="left"/>
      <w:pPr>
        <w:ind w:left="0" w:firstLine="0"/>
      </w:pPr>
      <w:rPr>
        <w:rFonts w:hint="eastAsia" w:eastAsia="宋体"/>
      </w:rPr>
    </w:lvl>
    <w:lvl w:ilvl="1" w:tentative="0">
      <w:start w:val="1"/>
      <w:numFmt w:val="chineseCountingThousand"/>
      <w:suff w:val="nothing"/>
      <w:lvlText w:val="（%2）"/>
      <w:lvlJc w:val="left"/>
      <w:pPr>
        <w:ind w:left="0" w:firstLine="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9"/>
  </w:num>
  <w:num w:numId="8">
    <w:abstractNumId w:val="7"/>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A94"/>
    <w:rsid w:val="00010E8D"/>
    <w:rsid w:val="000225EA"/>
    <w:rsid w:val="00024C42"/>
    <w:rsid w:val="0003520D"/>
    <w:rsid w:val="00036695"/>
    <w:rsid w:val="00083E69"/>
    <w:rsid w:val="000E203D"/>
    <w:rsid w:val="000F30A2"/>
    <w:rsid w:val="001B13D2"/>
    <w:rsid w:val="00223B73"/>
    <w:rsid w:val="00224E7E"/>
    <w:rsid w:val="002805F0"/>
    <w:rsid w:val="002A5B54"/>
    <w:rsid w:val="002F420D"/>
    <w:rsid w:val="0030099C"/>
    <w:rsid w:val="00303476"/>
    <w:rsid w:val="00323613"/>
    <w:rsid w:val="00371CC4"/>
    <w:rsid w:val="00373A94"/>
    <w:rsid w:val="003A3000"/>
    <w:rsid w:val="003A7ACF"/>
    <w:rsid w:val="003F0976"/>
    <w:rsid w:val="00402068"/>
    <w:rsid w:val="004644C6"/>
    <w:rsid w:val="00480AF8"/>
    <w:rsid w:val="004F430E"/>
    <w:rsid w:val="004F4666"/>
    <w:rsid w:val="004F60C6"/>
    <w:rsid w:val="004F7EA4"/>
    <w:rsid w:val="005031B8"/>
    <w:rsid w:val="005331C8"/>
    <w:rsid w:val="00534A36"/>
    <w:rsid w:val="00543FC4"/>
    <w:rsid w:val="0059180C"/>
    <w:rsid w:val="005943A6"/>
    <w:rsid w:val="00595EE6"/>
    <w:rsid w:val="005A270D"/>
    <w:rsid w:val="005B0596"/>
    <w:rsid w:val="005C0688"/>
    <w:rsid w:val="005D143C"/>
    <w:rsid w:val="005E08C5"/>
    <w:rsid w:val="005F733E"/>
    <w:rsid w:val="00692A27"/>
    <w:rsid w:val="006D0CDE"/>
    <w:rsid w:val="006D2AE6"/>
    <w:rsid w:val="006E2CBB"/>
    <w:rsid w:val="00700C82"/>
    <w:rsid w:val="00711F91"/>
    <w:rsid w:val="00763F56"/>
    <w:rsid w:val="007B7991"/>
    <w:rsid w:val="007E38D4"/>
    <w:rsid w:val="008156E6"/>
    <w:rsid w:val="008179CF"/>
    <w:rsid w:val="00870BC7"/>
    <w:rsid w:val="008A2E85"/>
    <w:rsid w:val="008E399C"/>
    <w:rsid w:val="008E4015"/>
    <w:rsid w:val="00914A76"/>
    <w:rsid w:val="00951762"/>
    <w:rsid w:val="009A65E1"/>
    <w:rsid w:val="00A148E9"/>
    <w:rsid w:val="00A30C9E"/>
    <w:rsid w:val="00A33D5D"/>
    <w:rsid w:val="00A75DFE"/>
    <w:rsid w:val="00A95084"/>
    <w:rsid w:val="00AC323D"/>
    <w:rsid w:val="00AD2154"/>
    <w:rsid w:val="00B2168A"/>
    <w:rsid w:val="00B7278C"/>
    <w:rsid w:val="00B81DD3"/>
    <w:rsid w:val="00B91DC6"/>
    <w:rsid w:val="00B96CB6"/>
    <w:rsid w:val="00BA4DA0"/>
    <w:rsid w:val="00BB6E4E"/>
    <w:rsid w:val="00BC2BAD"/>
    <w:rsid w:val="00BC34DD"/>
    <w:rsid w:val="00BD26A3"/>
    <w:rsid w:val="00BD5D8F"/>
    <w:rsid w:val="00C544B5"/>
    <w:rsid w:val="00C706D1"/>
    <w:rsid w:val="00CD1979"/>
    <w:rsid w:val="00D0691F"/>
    <w:rsid w:val="00D07474"/>
    <w:rsid w:val="00D07A7A"/>
    <w:rsid w:val="00D51FF3"/>
    <w:rsid w:val="00D661C4"/>
    <w:rsid w:val="00D83476"/>
    <w:rsid w:val="00D91C6B"/>
    <w:rsid w:val="00DC6EAE"/>
    <w:rsid w:val="00DE551D"/>
    <w:rsid w:val="00DF31DC"/>
    <w:rsid w:val="00DF37FF"/>
    <w:rsid w:val="00E65C5A"/>
    <w:rsid w:val="00E95BB9"/>
    <w:rsid w:val="00EA44AA"/>
    <w:rsid w:val="00EB0B0D"/>
    <w:rsid w:val="00EB322C"/>
    <w:rsid w:val="00EC2EBC"/>
    <w:rsid w:val="00ED297D"/>
    <w:rsid w:val="00EE3796"/>
    <w:rsid w:val="00F13E84"/>
    <w:rsid w:val="00F45040"/>
    <w:rsid w:val="00F46C6C"/>
    <w:rsid w:val="00F525C7"/>
    <w:rsid w:val="00F635F6"/>
    <w:rsid w:val="00F84E27"/>
    <w:rsid w:val="00F92C01"/>
    <w:rsid w:val="00FB502E"/>
    <w:rsid w:val="00FC3545"/>
    <w:rsid w:val="00FF7D15"/>
    <w:rsid w:val="1D223F55"/>
    <w:rsid w:val="243253FD"/>
    <w:rsid w:val="24F44BCA"/>
    <w:rsid w:val="26D5469D"/>
    <w:rsid w:val="61107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13"/>
    <w:qFormat/>
    <w:uiPriority w:val="0"/>
    <w:pPr>
      <w:keepNext/>
      <w:keepLines/>
      <w:jc w:val="center"/>
      <w:outlineLvl w:val="0"/>
    </w:pPr>
    <w:rPr>
      <w:rFonts w:ascii="Calibri" w:hAnsi="Calibri"/>
      <w:b/>
      <w:bCs/>
      <w:kern w:val="44"/>
      <w:sz w:val="28"/>
      <w:szCs w:val="44"/>
    </w:rPr>
  </w:style>
  <w:style w:type="paragraph" w:styleId="3">
    <w:name w:val="heading 2"/>
    <w:basedOn w:val="1"/>
    <w:next w:val="1"/>
    <w:link w:val="14"/>
    <w:semiHidden/>
    <w:unhideWhenUsed/>
    <w:qFormat/>
    <w:uiPriority w:val="9"/>
    <w:pPr>
      <w:keepNext/>
      <w:keepLines/>
      <w:spacing w:before="25" w:beforeLines="25" w:after="25" w:afterLines="25"/>
      <w:jc w:val="center"/>
      <w:outlineLvl w:val="1"/>
    </w:pPr>
    <w:rPr>
      <w:rFonts w:asciiTheme="majorHAnsi" w:hAnsiTheme="majorHAnsi" w:eastAsiaTheme="majorEastAsia" w:cstheme="majorBidi"/>
      <w:bCs/>
      <w:sz w:val="28"/>
      <w:szCs w:val="32"/>
    </w:rPr>
  </w:style>
  <w:style w:type="paragraph" w:styleId="4">
    <w:name w:val="heading 3"/>
    <w:basedOn w:val="1"/>
    <w:next w:val="1"/>
    <w:link w:val="15"/>
    <w:unhideWhenUsed/>
    <w:qFormat/>
    <w:uiPriority w:val="9"/>
    <w:pPr>
      <w:keepNext/>
      <w:keepLines/>
      <w:spacing w:before="25" w:beforeLines="25" w:after="25" w:afterLines="25"/>
      <w:outlineLvl w:val="2"/>
    </w:pPr>
    <w:rPr>
      <w:rFonts w:ascii="Calibri" w:hAnsi="Calibri"/>
      <w:b/>
      <w:bCs/>
      <w:szCs w:val="32"/>
    </w:rPr>
  </w:style>
  <w:style w:type="paragraph" w:styleId="5">
    <w:name w:val="heading 4"/>
    <w:basedOn w:val="1"/>
    <w:next w:val="1"/>
    <w:link w:val="20"/>
    <w:unhideWhenUsed/>
    <w:qFormat/>
    <w:uiPriority w:val="9"/>
    <w:pPr>
      <w:keepNext/>
      <w:keepLines/>
      <w:jc w:val="center"/>
      <w:outlineLvl w:val="3"/>
    </w:pPr>
    <w:rPr>
      <w:rFonts w:eastAsia="微软雅黑" w:asciiTheme="majorHAnsi" w:hAnsiTheme="majorHAnsi" w:cstheme="majorBidi"/>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6">
    <w:name w:val="Body Text"/>
    <w:basedOn w:val="1"/>
    <w:link w:val="27"/>
    <w:semiHidden/>
    <w:unhideWhenUsed/>
    <w:qFormat/>
    <w:uiPriority w:val="99"/>
    <w:pPr>
      <w:widowControl/>
      <w:spacing w:before="100" w:beforeAutospacing="1" w:after="100" w:afterAutospacing="1" w:line="240" w:lineRule="auto"/>
      <w:jc w:val="left"/>
    </w:pPr>
    <w:rPr>
      <w:rFonts w:ascii="宋体" w:hAnsi="宋体" w:cs="宋体"/>
      <w:kern w:val="0"/>
    </w:rPr>
  </w:style>
  <w:style w:type="paragraph" w:styleId="7">
    <w:name w:val="footer"/>
    <w:basedOn w:val="1"/>
    <w:link w:val="26"/>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link w:val="25"/>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9">
    <w:name w:val="Normal (Web)"/>
    <w:basedOn w:val="1"/>
    <w:unhideWhenUsed/>
    <w:qFormat/>
    <w:uiPriority w:val="99"/>
    <w:pPr>
      <w:widowControl/>
      <w:spacing w:before="100" w:beforeAutospacing="1" w:after="100" w:afterAutospacing="1" w:line="240" w:lineRule="auto"/>
      <w:jc w:val="left"/>
    </w:pPr>
    <w:rPr>
      <w:rFonts w:ascii="宋体" w:hAnsi="宋体" w:cs="宋体"/>
      <w:kern w:val="0"/>
    </w:rPr>
  </w:style>
  <w:style w:type="table" w:styleId="11">
    <w:name w:val="Table Grid"/>
    <w:basedOn w:val="10"/>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3">
    <w:name w:val="标题 1 Char"/>
    <w:basedOn w:val="12"/>
    <w:link w:val="2"/>
    <w:qFormat/>
    <w:uiPriority w:val="0"/>
    <w:rPr>
      <w:rFonts w:ascii="Calibri" w:hAnsi="Calibri" w:eastAsia="宋体" w:cs="Times New Roman"/>
      <w:b/>
      <w:bCs/>
      <w:kern w:val="44"/>
      <w:sz w:val="28"/>
      <w:szCs w:val="44"/>
    </w:rPr>
  </w:style>
  <w:style w:type="character" w:customStyle="1" w:styleId="14">
    <w:name w:val="标题 2 Char"/>
    <w:basedOn w:val="12"/>
    <w:link w:val="3"/>
    <w:semiHidden/>
    <w:qFormat/>
    <w:uiPriority w:val="9"/>
    <w:rPr>
      <w:rFonts w:asciiTheme="majorHAnsi" w:hAnsiTheme="majorHAnsi" w:eastAsiaTheme="majorEastAsia" w:cstheme="majorBidi"/>
      <w:bCs/>
      <w:sz w:val="28"/>
      <w:szCs w:val="32"/>
    </w:rPr>
  </w:style>
  <w:style w:type="character" w:customStyle="1" w:styleId="15">
    <w:name w:val="标题 3 Char"/>
    <w:basedOn w:val="12"/>
    <w:link w:val="4"/>
    <w:qFormat/>
    <w:uiPriority w:val="9"/>
    <w:rPr>
      <w:rFonts w:ascii="Calibri" w:hAnsi="Calibri" w:eastAsia="宋体" w:cs="Times New Roman"/>
      <w:b/>
      <w:bCs/>
      <w:sz w:val="24"/>
      <w:szCs w:val="32"/>
    </w:rPr>
  </w:style>
  <w:style w:type="paragraph" w:customStyle="1" w:styleId="16">
    <w:name w:val="正文-陪标"/>
    <w:basedOn w:val="4"/>
    <w:link w:val="17"/>
    <w:qFormat/>
    <w:uiPriority w:val="0"/>
    <w:pPr>
      <w:spacing w:before="0" w:beforeLines="0" w:after="0" w:afterLines="0"/>
      <w:jc w:val="right"/>
    </w:pPr>
    <w:rPr>
      <w:rFonts w:eastAsia="微软雅黑"/>
      <w:b w:val="0"/>
    </w:rPr>
  </w:style>
  <w:style w:type="character" w:customStyle="1" w:styleId="17">
    <w:name w:val="正文-陪标 Char"/>
    <w:basedOn w:val="15"/>
    <w:link w:val="16"/>
    <w:qFormat/>
    <w:uiPriority w:val="0"/>
    <w:rPr>
      <w:rFonts w:ascii="Calibri" w:hAnsi="Calibri" w:eastAsia="微软雅黑" w:cs="Times New Roman"/>
      <w:b w:val="0"/>
      <w:sz w:val="24"/>
      <w:szCs w:val="32"/>
    </w:rPr>
  </w:style>
  <w:style w:type="paragraph" w:customStyle="1" w:styleId="18">
    <w:name w:val="标题1-陪标"/>
    <w:basedOn w:val="1"/>
    <w:next w:val="16"/>
    <w:link w:val="19"/>
    <w:qFormat/>
    <w:uiPriority w:val="0"/>
    <w:pPr>
      <w:spacing w:after="160"/>
      <w:jc w:val="center"/>
    </w:pPr>
    <w:rPr>
      <w:rFonts w:ascii="宋体" w:hAnsi="宋体" w:eastAsia="微软雅黑"/>
      <w:sz w:val="28"/>
      <w:szCs w:val="52"/>
    </w:rPr>
  </w:style>
  <w:style w:type="character" w:customStyle="1" w:styleId="19">
    <w:name w:val="标题1-陪标 Char"/>
    <w:basedOn w:val="12"/>
    <w:link w:val="18"/>
    <w:qFormat/>
    <w:uiPriority w:val="0"/>
    <w:rPr>
      <w:rFonts w:ascii="宋体" w:hAnsi="宋体" w:eastAsia="微软雅黑" w:cs="Times New Roman"/>
      <w:sz w:val="28"/>
      <w:szCs w:val="52"/>
    </w:rPr>
  </w:style>
  <w:style w:type="character" w:customStyle="1" w:styleId="20">
    <w:name w:val="标题 4 Char"/>
    <w:basedOn w:val="12"/>
    <w:link w:val="5"/>
    <w:qFormat/>
    <w:uiPriority w:val="9"/>
    <w:rPr>
      <w:rFonts w:eastAsia="微软雅黑" w:asciiTheme="majorHAnsi" w:hAnsiTheme="majorHAnsi" w:cstheme="majorBidi"/>
      <w:bCs/>
      <w:sz w:val="28"/>
      <w:szCs w:val="28"/>
    </w:rPr>
  </w:style>
  <w:style w:type="paragraph" w:customStyle="1" w:styleId="21">
    <w:name w:val="陪标 标题1"/>
    <w:basedOn w:val="16"/>
    <w:next w:val="16"/>
    <w:link w:val="22"/>
    <w:qFormat/>
    <w:uiPriority w:val="0"/>
    <w:pPr>
      <w:jc w:val="center"/>
    </w:pPr>
    <w:rPr>
      <w:sz w:val="28"/>
    </w:rPr>
  </w:style>
  <w:style w:type="character" w:customStyle="1" w:styleId="22">
    <w:name w:val="陪标 标题1 Char"/>
    <w:basedOn w:val="15"/>
    <w:link w:val="21"/>
    <w:qFormat/>
    <w:uiPriority w:val="0"/>
    <w:rPr>
      <w:rFonts w:ascii="Calibri" w:hAnsi="Calibri" w:eastAsia="微软雅黑" w:cs="Times New Roman"/>
      <w:b w:val="0"/>
      <w:sz w:val="28"/>
      <w:szCs w:val="32"/>
    </w:rPr>
  </w:style>
  <w:style w:type="paragraph" w:customStyle="1" w:styleId="23">
    <w:name w:val="陪标 标题2"/>
    <w:basedOn w:val="16"/>
    <w:next w:val="16"/>
    <w:link w:val="24"/>
    <w:qFormat/>
    <w:uiPriority w:val="0"/>
    <w:pPr>
      <w:spacing w:before="25" w:beforeLines="25" w:after="25" w:afterLines="25"/>
      <w:jc w:val="center"/>
    </w:pPr>
    <w:rPr>
      <w:b/>
    </w:rPr>
  </w:style>
  <w:style w:type="character" w:customStyle="1" w:styleId="24">
    <w:name w:val="陪标 标题2 Char"/>
    <w:basedOn w:val="22"/>
    <w:link w:val="23"/>
    <w:qFormat/>
    <w:uiPriority w:val="0"/>
    <w:rPr>
      <w:rFonts w:ascii="Calibri" w:hAnsi="Calibri" w:eastAsia="微软雅黑" w:cs="Times New Roman"/>
      <w:b/>
      <w:sz w:val="24"/>
      <w:szCs w:val="32"/>
    </w:rPr>
  </w:style>
  <w:style w:type="character" w:customStyle="1" w:styleId="25">
    <w:name w:val="页眉 Char"/>
    <w:basedOn w:val="12"/>
    <w:link w:val="8"/>
    <w:qFormat/>
    <w:uiPriority w:val="99"/>
    <w:rPr>
      <w:rFonts w:ascii="Times New Roman" w:hAnsi="Times New Roman" w:eastAsia="宋体" w:cs="Times New Roman"/>
      <w:sz w:val="18"/>
      <w:szCs w:val="18"/>
    </w:rPr>
  </w:style>
  <w:style w:type="character" w:customStyle="1" w:styleId="26">
    <w:name w:val="页脚 Char"/>
    <w:basedOn w:val="12"/>
    <w:link w:val="7"/>
    <w:qFormat/>
    <w:uiPriority w:val="99"/>
    <w:rPr>
      <w:rFonts w:ascii="Times New Roman" w:hAnsi="Times New Roman" w:eastAsia="宋体" w:cs="Times New Roman"/>
      <w:sz w:val="18"/>
      <w:szCs w:val="18"/>
    </w:rPr>
  </w:style>
  <w:style w:type="character" w:customStyle="1" w:styleId="27">
    <w:name w:val="正文文本 Char"/>
    <w:basedOn w:val="12"/>
    <w:link w:val="6"/>
    <w:semiHidden/>
    <w:qFormat/>
    <w:uiPriority w:val="99"/>
    <w:rPr>
      <w:rFonts w:ascii="宋体" w:hAnsi="宋体" w:eastAsia="宋体" w:cs="宋体"/>
      <w:kern w:val="0"/>
      <w:sz w:val="24"/>
      <w:szCs w:val="24"/>
    </w:rPr>
  </w:style>
  <w:style w:type="paragraph" w:styleId="2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455818-FF16-40B5-A058-328BAD66F879}">
  <ds:schemaRefs/>
</ds:datastoreItem>
</file>

<file path=docProps/app.xml><?xml version="1.0" encoding="utf-8"?>
<Properties xmlns="http://schemas.openxmlformats.org/officeDocument/2006/extended-properties" xmlns:vt="http://schemas.openxmlformats.org/officeDocument/2006/docPropsVTypes">
  <Template>Normal.dotm</Template>
  <Company>WORKGROUP</Company>
  <Pages>6</Pages>
  <Words>546</Words>
  <Characters>3115</Characters>
  <Lines>25</Lines>
  <Paragraphs>7</Paragraphs>
  <TotalTime>79</TotalTime>
  <ScaleCrop>false</ScaleCrop>
  <LinksUpToDate>false</LinksUpToDate>
  <CharactersWithSpaces>3654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2020-04-13T02:16:00Z</dcterms:created>
  <dc:creator>User</dc:creator>
  <cp:lastModifiedBy>Administrator</cp:lastModifiedBy>
  <cp:lastPrinted>2020-04-13T09:41:00Z</cp:lastPrinted>
  <dcterms:modified xsi:type="dcterms:W3CDTF">2020-04-16T05:17:24Z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