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5584C" w14:textId="77777777" w:rsidR="00B85073" w:rsidRDefault="00B85073">
      <w:pPr>
        <w:pStyle w:val="a5"/>
        <w:spacing w:before="93"/>
        <w:rPr>
          <w:rFonts w:asciiTheme="minorEastAsia" w:eastAsiaTheme="minorEastAsia" w:hAnsiTheme="minorEastAsia" w:hint="eastAsia"/>
          <w:kern w:val="2"/>
          <w:sz w:val="72"/>
          <w:szCs w:val="72"/>
        </w:rPr>
      </w:pPr>
      <w:bookmarkStart w:id="0" w:name="_Toc15377193"/>
      <w:bookmarkStart w:id="1" w:name="_Toc15306267"/>
      <w:bookmarkStart w:id="2" w:name="_Toc15396597"/>
      <w:bookmarkStart w:id="3" w:name="_Toc15396475"/>
      <w:bookmarkStart w:id="4" w:name="_Toc15377425"/>
      <w:bookmarkStart w:id="5" w:name="_Toc15378441"/>
    </w:p>
    <w:p w14:paraId="65C925DD" w14:textId="77777777" w:rsidR="00B85073" w:rsidRDefault="00B85073">
      <w:pPr>
        <w:pStyle w:val="a5"/>
        <w:spacing w:before="93"/>
        <w:rPr>
          <w:rFonts w:asciiTheme="minorEastAsia" w:eastAsiaTheme="minorEastAsia" w:hAnsiTheme="minorEastAsia" w:hint="eastAsia"/>
          <w:kern w:val="2"/>
          <w:sz w:val="72"/>
          <w:szCs w:val="72"/>
        </w:rPr>
      </w:pPr>
    </w:p>
    <w:p w14:paraId="70BE6959" w14:textId="77777777" w:rsidR="00B85073" w:rsidRDefault="00B85073">
      <w:pPr>
        <w:pStyle w:val="a5"/>
        <w:spacing w:before="93"/>
        <w:rPr>
          <w:rFonts w:asciiTheme="minorEastAsia" w:eastAsiaTheme="minorEastAsia" w:hAnsiTheme="minorEastAsia" w:hint="eastAsia"/>
          <w:kern w:val="2"/>
          <w:sz w:val="72"/>
          <w:szCs w:val="72"/>
        </w:rPr>
      </w:pPr>
    </w:p>
    <w:p w14:paraId="53DC61E8" w14:textId="77777777" w:rsidR="00B85073" w:rsidRDefault="00000000">
      <w:pPr>
        <w:pStyle w:val="a5"/>
        <w:spacing w:before="93"/>
        <w:jc w:val="center"/>
        <w:rPr>
          <w:rFonts w:asciiTheme="minorEastAsia" w:eastAsiaTheme="minorEastAsia" w:hAnsiTheme="minorEastAsia" w:cs="方正小标宋简体" w:hint="eastAsia"/>
          <w:b/>
          <w:bCs/>
          <w:kern w:val="2"/>
          <w:sz w:val="56"/>
          <w:szCs w:val="56"/>
        </w:rPr>
      </w:pPr>
      <w:r>
        <w:rPr>
          <w:rFonts w:asciiTheme="minorEastAsia" w:eastAsiaTheme="minorEastAsia" w:hAnsiTheme="minorEastAsia" w:cs="方正小标宋简体" w:hint="eastAsia"/>
          <w:b/>
          <w:bCs/>
          <w:kern w:val="2"/>
          <w:sz w:val="56"/>
          <w:szCs w:val="56"/>
        </w:rPr>
        <w:t>2024年度</w:t>
      </w:r>
    </w:p>
    <w:p w14:paraId="48A4F4BF" w14:textId="77777777" w:rsidR="00B85073" w:rsidRDefault="00000000">
      <w:pPr>
        <w:pStyle w:val="a5"/>
        <w:spacing w:before="93"/>
        <w:jc w:val="center"/>
        <w:rPr>
          <w:rFonts w:asciiTheme="minorEastAsia" w:eastAsiaTheme="minorEastAsia" w:hAnsiTheme="minorEastAsia" w:cs="方正小标宋简体" w:hint="eastAsia"/>
          <w:b/>
          <w:bCs/>
          <w:kern w:val="2"/>
          <w:sz w:val="56"/>
          <w:szCs w:val="56"/>
        </w:rPr>
      </w:pPr>
      <w:r>
        <w:rPr>
          <w:rFonts w:asciiTheme="minorEastAsia" w:eastAsiaTheme="minorEastAsia" w:hAnsiTheme="minorEastAsia" w:cs="方正小标宋简体" w:hint="eastAsia"/>
          <w:b/>
          <w:bCs/>
          <w:kern w:val="2"/>
          <w:sz w:val="56"/>
          <w:szCs w:val="56"/>
        </w:rPr>
        <w:t>巴中市妇幼保健院单位决算</w:t>
      </w:r>
    </w:p>
    <w:p w14:paraId="7B4E19B3" w14:textId="77777777" w:rsidR="00B85073" w:rsidRDefault="00B85073">
      <w:pPr>
        <w:pStyle w:val="a5"/>
        <w:spacing w:before="93"/>
        <w:jc w:val="center"/>
        <w:rPr>
          <w:rFonts w:asciiTheme="minorEastAsia" w:eastAsiaTheme="minorEastAsia" w:hAnsiTheme="minorEastAsia" w:cs="方正小标宋简体" w:hint="eastAsia"/>
          <w:kern w:val="2"/>
          <w:sz w:val="56"/>
          <w:szCs w:val="56"/>
        </w:rPr>
      </w:pPr>
    </w:p>
    <w:p w14:paraId="7E3CF1D1" w14:textId="77777777" w:rsidR="00B85073" w:rsidRDefault="00B85073">
      <w:pPr>
        <w:pStyle w:val="a5"/>
        <w:spacing w:before="93"/>
        <w:jc w:val="center"/>
        <w:rPr>
          <w:rFonts w:asciiTheme="minorEastAsia" w:eastAsiaTheme="minorEastAsia" w:hAnsiTheme="minorEastAsia" w:cs="方正小标宋简体" w:hint="eastAsia"/>
          <w:kern w:val="2"/>
          <w:sz w:val="44"/>
          <w:szCs w:val="44"/>
        </w:rPr>
      </w:pPr>
    </w:p>
    <w:p w14:paraId="0315E0A1" w14:textId="77777777" w:rsidR="00B85073" w:rsidRDefault="00B85073">
      <w:pPr>
        <w:spacing w:line="600" w:lineRule="exact"/>
        <w:jc w:val="center"/>
        <w:outlineLvl w:val="0"/>
        <w:rPr>
          <w:rFonts w:asciiTheme="minorEastAsia" w:eastAsiaTheme="minorEastAsia" w:hAnsiTheme="minorEastAsia" w:hint="eastAsia"/>
          <w:sz w:val="72"/>
          <w:szCs w:val="72"/>
        </w:rPr>
      </w:pPr>
    </w:p>
    <w:p w14:paraId="79574425" w14:textId="77777777" w:rsidR="00B85073" w:rsidRDefault="00B85073">
      <w:pPr>
        <w:pStyle w:val="5"/>
        <w:rPr>
          <w:rFonts w:asciiTheme="minorEastAsia" w:eastAsiaTheme="minorEastAsia" w:hAnsiTheme="minorEastAsia" w:hint="eastAsia"/>
        </w:rPr>
        <w:sectPr w:rsidR="00B85073">
          <w:headerReference w:type="default" r:id="rId7"/>
          <w:footerReference w:type="default" r:id="rId8"/>
          <w:pgSz w:w="11906" w:h="16838"/>
          <w:pgMar w:top="1440" w:right="1800" w:bottom="1440" w:left="1800" w:header="851" w:footer="992" w:gutter="0"/>
          <w:pgNumType w:fmt="numberInDash" w:start="1"/>
          <w:cols w:space="425"/>
          <w:titlePg/>
          <w:docGrid w:type="lines" w:linePitch="312"/>
        </w:sectPr>
      </w:pP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6" w:name="_Toc15396599" w:displacedByCustomXml="next"/>
    <w:bookmarkStart w:id="7" w:name="_Toc15377196" w:displacedByCustomXml="next"/>
    <w:sdt>
      <w:sdtPr>
        <w:rPr>
          <w:rFonts w:ascii="仿宋_GB2312" w:eastAsia="宋体" w:hAnsi="Times New Roman" w:cs="Times New Roman"/>
          <w:color w:val="auto"/>
          <w:kern w:val="2"/>
          <w:sz w:val="21"/>
          <w:lang w:val="zh-CN"/>
        </w:rPr>
        <w:id w:val="2009560427"/>
        <w:docPartObj>
          <w:docPartGallery w:val="Table of Contents"/>
          <w:docPartUnique/>
        </w:docPartObj>
      </w:sdtPr>
      <w:sdtEndPr>
        <w:rPr>
          <w:b/>
          <w:bCs/>
        </w:rPr>
      </w:sdtEndPr>
      <w:sdtContent>
        <w:p w14:paraId="23DE4079" w14:textId="77777777" w:rsidR="00B85073" w:rsidRDefault="00000000">
          <w:pPr>
            <w:pStyle w:val="TOC30"/>
            <w:jc w:val="center"/>
            <w:rPr>
              <w:lang w:val="zh-CN"/>
            </w:rPr>
          </w:pPr>
          <w:r>
            <w:rPr>
              <w:lang w:val="zh-CN"/>
            </w:rPr>
            <w:t>目录</w:t>
          </w:r>
        </w:p>
        <w:p w14:paraId="205C2445" w14:textId="77777777" w:rsidR="00B85073" w:rsidRDefault="00000000">
          <w:pPr>
            <w:jc w:val="center"/>
            <w:rPr>
              <w:lang w:val="zh-CN"/>
            </w:rPr>
          </w:pPr>
          <w:r>
            <w:rPr>
              <w:rFonts w:hint="eastAsia"/>
              <w:lang w:val="zh-CN"/>
            </w:rPr>
            <w:t>公开时间：</w:t>
          </w:r>
          <w:r>
            <w:rPr>
              <w:rFonts w:hint="eastAsia"/>
              <w:lang w:val="zh-CN"/>
            </w:rPr>
            <w:t>2025</w:t>
          </w:r>
          <w:r>
            <w:rPr>
              <w:rFonts w:hint="eastAsia"/>
              <w:lang w:val="zh-CN"/>
            </w:rPr>
            <w:t>年</w:t>
          </w:r>
          <w:r>
            <w:rPr>
              <w:rFonts w:hint="eastAsia"/>
            </w:rPr>
            <w:t>10</w:t>
          </w:r>
          <w:r>
            <w:rPr>
              <w:rFonts w:hint="eastAsia"/>
              <w:lang w:val="zh-CN"/>
            </w:rPr>
            <w:t>月</w:t>
          </w:r>
          <w:r>
            <w:rPr>
              <w:rFonts w:hint="eastAsia"/>
            </w:rPr>
            <w:t>1</w:t>
          </w:r>
          <w:r>
            <w:rPr>
              <w:rFonts w:hint="eastAsia"/>
              <w:lang w:val="zh-CN"/>
            </w:rPr>
            <w:t>0</w:t>
          </w:r>
          <w:r>
            <w:rPr>
              <w:rFonts w:hint="eastAsia"/>
              <w:lang w:val="zh-CN"/>
            </w:rPr>
            <w:t>日</w:t>
          </w:r>
        </w:p>
        <w:p w14:paraId="09E83B65" w14:textId="77777777" w:rsidR="00B85073" w:rsidRDefault="00000000">
          <w:pPr>
            <w:pStyle w:val="TOC1"/>
            <w:rPr>
              <w:rFonts w:asciiTheme="minorHAnsi" w:eastAsiaTheme="minorEastAsia" w:hAnsiTheme="minorHAnsi" w:cstheme="minorBidi"/>
              <w:sz w:val="22"/>
              <w:szCs w:val="24"/>
              <w14:ligatures w14:val="standardContextual"/>
            </w:rPr>
          </w:pPr>
          <w:r>
            <w:fldChar w:fldCharType="begin"/>
          </w:r>
          <w:r>
            <w:instrText xml:space="preserve"> TOC \o "1-3" \h \z \u </w:instrText>
          </w:r>
          <w:r>
            <w:fldChar w:fldCharType="separate"/>
          </w:r>
          <w:hyperlink w:anchor="_Toc210112687" w:history="1">
            <w:r>
              <w:rPr>
                <w:rStyle w:val="af"/>
                <w:rFonts w:asciiTheme="minorEastAsia" w:hAnsiTheme="minorEastAsia" w:cs="方正小标宋简体" w:hint="eastAsia"/>
              </w:rPr>
              <w:t>第一部分</w:t>
            </w:r>
            <w:r>
              <w:rPr>
                <w:rStyle w:val="af"/>
                <w:rFonts w:asciiTheme="minorEastAsia" w:hAnsiTheme="minorEastAsia" w:cs="方正小标宋简体" w:hint="eastAsia"/>
              </w:rPr>
              <w:t xml:space="preserve">  </w:t>
            </w:r>
            <w:r>
              <w:rPr>
                <w:rStyle w:val="af"/>
                <w:rFonts w:asciiTheme="minorEastAsia" w:hAnsiTheme="minorEastAsia" w:cs="方正小标宋简体" w:hint="eastAsia"/>
              </w:rPr>
              <w:t>部门概况</w:t>
            </w:r>
            <w:r>
              <w:rPr>
                <w:rFonts w:hint="eastAsia"/>
              </w:rPr>
              <w:tab/>
            </w:r>
            <w:r>
              <w:rPr>
                <w:rFonts w:hint="eastAsia"/>
              </w:rPr>
              <w:fldChar w:fldCharType="begin"/>
            </w:r>
            <w:r>
              <w:rPr>
                <w:rFonts w:hint="eastAsia"/>
              </w:rPr>
              <w:instrText xml:space="preserve"> </w:instrText>
            </w:r>
            <w:r>
              <w:instrText>PAGEREF _Toc210112687 \h</w:instrText>
            </w:r>
            <w:r>
              <w:rPr>
                <w:rFonts w:hint="eastAsia"/>
              </w:rPr>
              <w:instrText xml:space="preserve"> </w:instrText>
            </w:r>
            <w:r>
              <w:rPr>
                <w:rFonts w:hint="eastAsia"/>
              </w:rPr>
            </w:r>
            <w:r>
              <w:rPr>
                <w:rFonts w:hint="eastAsia"/>
              </w:rPr>
              <w:fldChar w:fldCharType="separate"/>
            </w:r>
            <w:r>
              <w:rPr>
                <w:rFonts w:hint="eastAsia"/>
              </w:rPr>
              <w:t>- 1 -</w:t>
            </w:r>
            <w:r>
              <w:rPr>
                <w:rFonts w:hint="eastAsia"/>
              </w:rPr>
              <w:fldChar w:fldCharType="end"/>
            </w:r>
          </w:hyperlink>
        </w:p>
        <w:p w14:paraId="2D3B3A61" w14:textId="77777777" w:rsidR="00B85073" w:rsidRDefault="00000000">
          <w:pPr>
            <w:pStyle w:val="TOC2"/>
            <w:rPr>
              <w:rFonts w:asciiTheme="minorHAnsi" w:eastAsiaTheme="minorEastAsia" w:hAnsiTheme="minorHAnsi" w:cstheme="minorBidi"/>
              <w:sz w:val="22"/>
              <w14:ligatures w14:val="standardContextual"/>
            </w:rPr>
          </w:pPr>
          <w:hyperlink w:anchor="_Toc210112688" w:history="1">
            <w:r>
              <w:rPr>
                <w:rStyle w:val="af"/>
                <w:rFonts w:asciiTheme="minorEastAsia" w:hAnsiTheme="minorEastAsia" w:hint="eastAsia"/>
              </w:rPr>
              <w:t>一、部门职责</w:t>
            </w:r>
            <w:r>
              <w:rPr>
                <w:rFonts w:hint="eastAsia"/>
              </w:rPr>
              <w:tab/>
            </w:r>
            <w:r>
              <w:rPr>
                <w:rFonts w:hint="eastAsia"/>
              </w:rPr>
              <w:fldChar w:fldCharType="begin"/>
            </w:r>
            <w:r>
              <w:rPr>
                <w:rFonts w:hint="eastAsia"/>
              </w:rPr>
              <w:instrText xml:space="preserve"> </w:instrText>
            </w:r>
            <w:r>
              <w:instrText>PAGEREF _Toc210112688 \h</w:instrText>
            </w:r>
            <w:r>
              <w:rPr>
                <w:rFonts w:hint="eastAsia"/>
              </w:rPr>
              <w:instrText xml:space="preserve"> </w:instrText>
            </w:r>
            <w:r>
              <w:rPr>
                <w:rFonts w:hint="eastAsia"/>
              </w:rPr>
            </w:r>
            <w:r>
              <w:rPr>
                <w:rFonts w:hint="eastAsia"/>
              </w:rPr>
              <w:fldChar w:fldCharType="separate"/>
            </w:r>
            <w:r>
              <w:t>- 1 -</w:t>
            </w:r>
            <w:r>
              <w:rPr>
                <w:rFonts w:hint="eastAsia"/>
              </w:rPr>
              <w:fldChar w:fldCharType="end"/>
            </w:r>
          </w:hyperlink>
        </w:p>
        <w:p w14:paraId="543B66EA" w14:textId="77777777" w:rsidR="00B85073" w:rsidRDefault="00000000">
          <w:pPr>
            <w:pStyle w:val="TOC2"/>
            <w:rPr>
              <w:rFonts w:asciiTheme="minorHAnsi" w:eastAsiaTheme="minorEastAsia" w:hAnsiTheme="minorHAnsi" w:cstheme="minorBidi"/>
              <w:sz w:val="22"/>
              <w14:ligatures w14:val="standardContextual"/>
            </w:rPr>
          </w:pPr>
          <w:hyperlink w:anchor="_Toc210112689" w:history="1">
            <w:r>
              <w:rPr>
                <w:rStyle w:val="af"/>
                <w:rFonts w:asciiTheme="minorEastAsia" w:hAnsiTheme="minorEastAsia" w:hint="eastAsia"/>
              </w:rPr>
              <w:t>二、机构设置</w:t>
            </w:r>
            <w:r>
              <w:rPr>
                <w:rFonts w:hint="eastAsia"/>
              </w:rPr>
              <w:tab/>
            </w:r>
            <w:r>
              <w:rPr>
                <w:rFonts w:hint="eastAsia"/>
              </w:rPr>
              <w:fldChar w:fldCharType="begin"/>
            </w:r>
            <w:r>
              <w:rPr>
                <w:rFonts w:hint="eastAsia"/>
              </w:rPr>
              <w:instrText xml:space="preserve"> </w:instrText>
            </w:r>
            <w:r>
              <w:instrText>PAGEREF _Toc210112689 \h</w:instrText>
            </w:r>
            <w:r>
              <w:rPr>
                <w:rFonts w:hint="eastAsia"/>
              </w:rPr>
              <w:instrText xml:space="preserve"> </w:instrText>
            </w:r>
            <w:r>
              <w:rPr>
                <w:rFonts w:hint="eastAsia"/>
              </w:rPr>
            </w:r>
            <w:r>
              <w:rPr>
                <w:rFonts w:hint="eastAsia"/>
              </w:rPr>
              <w:fldChar w:fldCharType="separate"/>
            </w:r>
            <w:r>
              <w:t>- 3 -</w:t>
            </w:r>
            <w:r>
              <w:rPr>
                <w:rFonts w:hint="eastAsia"/>
              </w:rPr>
              <w:fldChar w:fldCharType="end"/>
            </w:r>
          </w:hyperlink>
        </w:p>
        <w:p w14:paraId="05E80A62" w14:textId="77777777" w:rsidR="00B85073" w:rsidRDefault="00000000">
          <w:pPr>
            <w:pStyle w:val="TOC1"/>
            <w:rPr>
              <w:rFonts w:asciiTheme="minorHAnsi" w:eastAsiaTheme="minorEastAsia" w:hAnsiTheme="minorHAnsi" w:cstheme="minorBidi"/>
              <w:sz w:val="22"/>
              <w:szCs w:val="24"/>
              <w14:ligatures w14:val="standardContextual"/>
            </w:rPr>
          </w:pPr>
          <w:hyperlink w:anchor="_Toc210112690" w:history="1">
            <w:r>
              <w:rPr>
                <w:rStyle w:val="af"/>
                <w:rFonts w:asciiTheme="minorEastAsia" w:hAnsiTheme="minorEastAsia" w:cs="方正小标宋简体" w:hint="eastAsia"/>
              </w:rPr>
              <w:t>第二部分</w:t>
            </w:r>
            <w:r>
              <w:rPr>
                <w:rStyle w:val="af"/>
                <w:rFonts w:asciiTheme="minorEastAsia" w:hAnsiTheme="minorEastAsia" w:cs="方正小标宋简体" w:hint="eastAsia"/>
              </w:rPr>
              <w:t xml:space="preserve">  2024</w:t>
            </w:r>
            <w:r>
              <w:rPr>
                <w:rStyle w:val="af"/>
                <w:rFonts w:asciiTheme="minorEastAsia" w:hAnsiTheme="minorEastAsia" w:cs="方正小标宋简体" w:hint="eastAsia"/>
              </w:rPr>
              <w:t>年度部门决算情况说明</w:t>
            </w:r>
            <w:r>
              <w:rPr>
                <w:rFonts w:hint="eastAsia"/>
              </w:rPr>
              <w:tab/>
            </w:r>
            <w:r>
              <w:rPr>
                <w:rFonts w:hint="eastAsia"/>
              </w:rPr>
              <w:fldChar w:fldCharType="begin"/>
            </w:r>
            <w:r>
              <w:rPr>
                <w:rFonts w:hint="eastAsia"/>
              </w:rPr>
              <w:instrText xml:space="preserve"> </w:instrText>
            </w:r>
            <w:r>
              <w:instrText>PAGEREF _Toc210112690 \h</w:instrText>
            </w:r>
            <w:r>
              <w:rPr>
                <w:rFonts w:hint="eastAsia"/>
              </w:rPr>
              <w:instrText xml:space="preserve"> </w:instrText>
            </w:r>
            <w:r>
              <w:rPr>
                <w:rFonts w:hint="eastAsia"/>
              </w:rPr>
            </w:r>
            <w:r>
              <w:rPr>
                <w:rFonts w:hint="eastAsia"/>
              </w:rPr>
              <w:fldChar w:fldCharType="separate"/>
            </w:r>
            <w:r>
              <w:rPr>
                <w:rFonts w:hint="eastAsia"/>
              </w:rPr>
              <w:t>- 4 -</w:t>
            </w:r>
            <w:r>
              <w:rPr>
                <w:rFonts w:hint="eastAsia"/>
              </w:rPr>
              <w:fldChar w:fldCharType="end"/>
            </w:r>
          </w:hyperlink>
        </w:p>
        <w:p w14:paraId="31E3103E" w14:textId="77777777" w:rsidR="00B85073" w:rsidRDefault="00000000">
          <w:pPr>
            <w:pStyle w:val="TOC2"/>
            <w:rPr>
              <w:rFonts w:asciiTheme="minorHAnsi" w:eastAsiaTheme="minorEastAsia" w:hAnsiTheme="minorHAnsi" w:cstheme="minorBidi"/>
              <w:sz w:val="22"/>
              <w14:ligatures w14:val="standardContextual"/>
            </w:rPr>
          </w:pPr>
          <w:hyperlink w:anchor="_Toc210112691" w:history="1">
            <w:r>
              <w:rPr>
                <w:rStyle w:val="af"/>
                <w:rFonts w:asciiTheme="minorEastAsia" w:hAnsiTheme="minorEastAsia" w:hint="eastAsia"/>
              </w:rPr>
              <w:t>一、收</w:t>
            </w:r>
            <w:r>
              <w:rPr>
                <w:rStyle w:val="af"/>
                <w:rFonts w:asciiTheme="minorEastAsia" w:hAnsiTheme="minorEastAsia" w:cstheme="majorBidi" w:hint="eastAsia"/>
                <w:bCs/>
              </w:rPr>
              <w:t>入支出决算总体情况说明</w:t>
            </w:r>
            <w:r>
              <w:rPr>
                <w:rFonts w:hint="eastAsia"/>
              </w:rPr>
              <w:tab/>
            </w:r>
            <w:r>
              <w:rPr>
                <w:rFonts w:hint="eastAsia"/>
              </w:rPr>
              <w:fldChar w:fldCharType="begin"/>
            </w:r>
            <w:r>
              <w:rPr>
                <w:rFonts w:hint="eastAsia"/>
              </w:rPr>
              <w:instrText xml:space="preserve"> </w:instrText>
            </w:r>
            <w:r>
              <w:instrText>PAGEREF _Toc210112691 \h</w:instrText>
            </w:r>
            <w:r>
              <w:rPr>
                <w:rFonts w:hint="eastAsia"/>
              </w:rPr>
              <w:instrText xml:space="preserve"> </w:instrText>
            </w:r>
            <w:r>
              <w:rPr>
                <w:rFonts w:hint="eastAsia"/>
              </w:rPr>
            </w:r>
            <w:r>
              <w:rPr>
                <w:rFonts w:hint="eastAsia"/>
              </w:rPr>
              <w:fldChar w:fldCharType="separate"/>
            </w:r>
            <w:r>
              <w:t>- 4 -</w:t>
            </w:r>
            <w:r>
              <w:rPr>
                <w:rFonts w:hint="eastAsia"/>
              </w:rPr>
              <w:fldChar w:fldCharType="end"/>
            </w:r>
          </w:hyperlink>
        </w:p>
        <w:p w14:paraId="6EF2EEAA" w14:textId="77777777" w:rsidR="00B85073" w:rsidRDefault="00000000">
          <w:pPr>
            <w:pStyle w:val="TOC2"/>
            <w:rPr>
              <w:rFonts w:asciiTheme="minorHAnsi" w:eastAsiaTheme="minorEastAsia" w:hAnsiTheme="minorHAnsi" w:cstheme="minorBidi"/>
              <w:sz w:val="22"/>
              <w14:ligatures w14:val="standardContextual"/>
            </w:rPr>
          </w:pPr>
          <w:hyperlink w:anchor="_Toc210112692" w:history="1">
            <w:r>
              <w:rPr>
                <w:rStyle w:val="af"/>
                <w:rFonts w:asciiTheme="minorEastAsia" w:hAnsiTheme="minorEastAsia" w:hint="eastAsia"/>
              </w:rPr>
              <w:t>二、收入决算情况说明</w:t>
            </w:r>
            <w:r>
              <w:rPr>
                <w:rFonts w:hint="eastAsia"/>
              </w:rPr>
              <w:tab/>
            </w:r>
            <w:r>
              <w:rPr>
                <w:rFonts w:hint="eastAsia"/>
              </w:rPr>
              <w:fldChar w:fldCharType="begin"/>
            </w:r>
            <w:r>
              <w:rPr>
                <w:rFonts w:hint="eastAsia"/>
              </w:rPr>
              <w:instrText xml:space="preserve"> </w:instrText>
            </w:r>
            <w:r>
              <w:instrText>PAGEREF _Toc210112692 \h</w:instrText>
            </w:r>
            <w:r>
              <w:rPr>
                <w:rFonts w:hint="eastAsia"/>
              </w:rPr>
              <w:instrText xml:space="preserve"> </w:instrText>
            </w:r>
            <w:r>
              <w:rPr>
                <w:rFonts w:hint="eastAsia"/>
              </w:rPr>
            </w:r>
            <w:r>
              <w:rPr>
                <w:rFonts w:hint="eastAsia"/>
              </w:rPr>
              <w:fldChar w:fldCharType="separate"/>
            </w:r>
            <w:r>
              <w:t>- 4 -</w:t>
            </w:r>
            <w:r>
              <w:rPr>
                <w:rFonts w:hint="eastAsia"/>
              </w:rPr>
              <w:fldChar w:fldCharType="end"/>
            </w:r>
          </w:hyperlink>
        </w:p>
        <w:p w14:paraId="78BAEF48" w14:textId="77777777" w:rsidR="00B85073" w:rsidRDefault="00000000">
          <w:pPr>
            <w:pStyle w:val="TOC2"/>
            <w:rPr>
              <w:rFonts w:asciiTheme="minorHAnsi" w:eastAsiaTheme="minorEastAsia" w:hAnsiTheme="minorHAnsi" w:cstheme="minorBidi"/>
              <w:sz w:val="22"/>
              <w14:ligatures w14:val="standardContextual"/>
            </w:rPr>
          </w:pPr>
          <w:hyperlink w:anchor="_Toc210112693" w:history="1">
            <w:r>
              <w:rPr>
                <w:rStyle w:val="af"/>
                <w:rFonts w:asciiTheme="minorEastAsia" w:hAnsiTheme="minorEastAsia" w:hint="eastAsia"/>
              </w:rPr>
              <w:t>三、支</w:t>
            </w:r>
            <w:r>
              <w:rPr>
                <w:rStyle w:val="af"/>
                <w:rFonts w:asciiTheme="minorEastAsia" w:hAnsiTheme="minorEastAsia" w:cstheme="majorBidi" w:hint="eastAsia"/>
                <w:bCs/>
              </w:rPr>
              <w:t>出决算情况说明</w:t>
            </w:r>
            <w:r>
              <w:rPr>
                <w:rFonts w:hint="eastAsia"/>
              </w:rPr>
              <w:tab/>
            </w:r>
            <w:r>
              <w:rPr>
                <w:rFonts w:hint="eastAsia"/>
              </w:rPr>
              <w:fldChar w:fldCharType="begin"/>
            </w:r>
            <w:r>
              <w:rPr>
                <w:rFonts w:hint="eastAsia"/>
              </w:rPr>
              <w:instrText xml:space="preserve"> </w:instrText>
            </w:r>
            <w:r>
              <w:instrText>PAGEREF _Toc210112693 \h</w:instrText>
            </w:r>
            <w:r>
              <w:rPr>
                <w:rFonts w:hint="eastAsia"/>
              </w:rPr>
              <w:instrText xml:space="preserve"> </w:instrText>
            </w:r>
            <w:r>
              <w:rPr>
                <w:rFonts w:hint="eastAsia"/>
              </w:rPr>
            </w:r>
            <w:r>
              <w:rPr>
                <w:rFonts w:hint="eastAsia"/>
              </w:rPr>
              <w:fldChar w:fldCharType="separate"/>
            </w:r>
            <w:r>
              <w:t>- 5 -</w:t>
            </w:r>
            <w:r>
              <w:rPr>
                <w:rFonts w:hint="eastAsia"/>
              </w:rPr>
              <w:fldChar w:fldCharType="end"/>
            </w:r>
          </w:hyperlink>
        </w:p>
        <w:p w14:paraId="367AA35B" w14:textId="77777777" w:rsidR="00B85073" w:rsidRDefault="00000000">
          <w:pPr>
            <w:pStyle w:val="TOC2"/>
            <w:rPr>
              <w:rFonts w:asciiTheme="minorHAnsi" w:eastAsiaTheme="minorEastAsia" w:hAnsiTheme="minorHAnsi" w:cstheme="minorBidi"/>
              <w:sz w:val="22"/>
              <w14:ligatures w14:val="standardContextual"/>
            </w:rPr>
          </w:pPr>
          <w:hyperlink w:anchor="_Toc210112694" w:history="1">
            <w:r>
              <w:rPr>
                <w:rStyle w:val="af"/>
                <w:rFonts w:asciiTheme="minorEastAsia" w:hAnsiTheme="minorEastAsia" w:hint="eastAsia"/>
              </w:rPr>
              <w:t>四、财</w:t>
            </w:r>
            <w:r>
              <w:rPr>
                <w:rStyle w:val="af"/>
                <w:rFonts w:asciiTheme="minorEastAsia" w:hAnsiTheme="minorEastAsia" w:cstheme="majorBidi" w:hint="eastAsia"/>
                <w:bCs/>
              </w:rPr>
              <w:t>政拨款收入支出决算总体情况说明</w:t>
            </w:r>
            <w:r>
              <w:rPr>
                <w:rFonts w:hint="eastAsia"/>
              </w:rPr>
              <w:tab/>
            </w:r>
            <w:r>
              <w:rPr>
                <w:rFonts w:hint="eastAsia"/>
              </w:rPr>
              <w:fldChar w:fldCharType="begin"/>
            </w:r>
            <w:r>
              <w:rPr>
                <w:rFonts w:hint="eastAsia"/>
              </w:rPr>
              <w:instrText xml:space="preserve"> </w:instrText>
            </w:r>
            <w:r>
              <w:instrText>PAGEREF _Toc210112694 \h</w:instrText>
            </w:r>
            <w:r>
              <w:rPr>
                <w:rFonts w:hint="eastAsia"/>
              </w:rPr>
              <w:instrText xml:space="preserve"> </w:instrText>
            </w:r>
            <w:r>
              <w:rPr>
                <w:rFonts w:hint="eastAsia"/>
              </w:rPr>
            </w:r>
            <w:r>
              <w:rPr>
                <w:rFonts w:hint="eastAsia"/>
              </w:rPr>
              <w:fldChar w:fldCharType="separate"/>
            </w:r>
            <w:r>
              <w:t>- 5 -</w:t>
            </w:r>
            <w:r>
              <w:rPr>
                <w:rFonts w:hint="eastAsia"/>
              </w:rPr>
              <w:fldChar w:fldCharType="end"/>
            </w:r>
          </w:hyperlink>
        </w:p>
        <w:p w14:paraId="19D999D3" w14:textId="77777777" w:rsidR="00B85073" w:rsidRDefault="00000000">
          <w:pPr>
            <w:pStyle w:val="TOC2"/>
            <w:rPr>
              <w:rFonts w:asciiTheme="minorHAnsi" w:eastAsiaTheme="minorEastAsia" w:hAnsiTheme="minorHAnsi" w:cstheme="minorBidi"/>
              <w:sz w:val="22"/>
              <w14:ligatures w14:val="standardContextual"/>
            </w:rPr>
          </w:pPr>
          <w:hyperlink w:anchor="_Toc210112695" w:history="1">
            <w:r>
              <w:rPr>
                <w:rStyle w:val="af"/>
                <w:rFonts w:asciiTheme="minorEastAsia" w:hAnsiTheme="minorEastAsia" w:hint="eastAsia"/>
              </w:rPr>
              <w:t>五、</w:t>
            </w:r>
            <w:r>
              <w:rPr>
                <w:rStyle w:val="af"/>
                <w:rFonts w:asciiTheme="minorEastAsia" w:hAnsiTheme="minorEastAsia" w:hint="eastAsia"/>
                <w:b/>
              </w:rPr>
              <w:t>一</w:t>
            </w:r>
            <w:r>
              <w:rPr>
                <w:rStyle w:val="af"/>
                <w:rFonts w:asciiTheme="minorEastAsia" w:hAnsiTheme="minorEastAsia" w:cstheme="majorBidi" w:hint="eastAsia"/>
                <w:bCs/>
              </w:rPr>
              <w:t>般公共预算财政拨款支出决算情况说明</w:t>
            </w:r>
            <w:r>
              <w:rPr>
                <w:rFonts w:hint="eastAsia"/>
              </w:rPr>
              <w:tab/>
            </w:r>
            <w:r>
              <w:rPr>
                <w:rFonts w:hint="eastAsia"/>
              </w:rPr>
              <w:fldChar w:fldCharType="begin"/>
            </w:r>
            <w:r>
              <w:rPr>
                <w:rFonts w:hint="eastAsia"/>
              </w:rPr>
              <w:instrText xml:space="preserve"> </w:instrText>
            </w:r>
            <w:r>
              <w:instrText>PAGEREF _Toc210112695 \h</w:instrText>
            </w:r>
            <w:r>
              <w:rPr>
                <w:rFonts w:hint="eastAsia"/>
              </w:rPr>
              <w:instrText xml:space="preserve"> </w:instrText>
            </w:r>
            <w:r>
              <w:rPr>
                <w:rFonts w:hint="eastAsia"/>
              </w:rPr>
            </w:r>
            <w:r>
              <w:rPr>
                <w:rFonts w:hint="eastAsia"/>
              </w:rPr>
              <w:fldChar w:fldCharType="separate"/>
            </w:r>
            <w:r>
              <w:t>- 6 -</w:t>
            </w:r>
            <w:r>
              <w:rPr>
                <w:rFonts w:hint="eastAsia"/>
              </w:rPr>
              <w:fldChar w:fldCharType="end"/>
            </w:r>
          </w:hyperlink>
        </w:p>
        <w:p w14:paraId="4BEEFD3B" w14:textId="77777777" w:rsidR="00B85073" w:rsidRDefault="00000000">
          <w:pPr>
            <w:pStyle w:val="TOC3"/>
            <w:rPr>
              <w:rFonts w:asciiTheme="minorHAnsi" w:eastAsiaTheme="minorEastAsia" w:hAnsiTheme="minorHAnsi" w:cstheme="minorBidi"/>
              <w:sz w:val="22"/>
              <w14:ligatures w14:val="standardContextual"/>
            </w:rPr>
          </w:pPr>
          <w:hyperlink w:anchor="_Toc210112696" w:history="1">
            <w:r>
              <w:rPr>
                <w:rStyle w:val="af"/>
                <w:rFonts w:asciiTheme="minorEastAsia" w:hAnsiTheme="minorEastAsia" w:cs="楷体_GB2312" w:hint="eastAsia"/>
                <w:b/>
              </w:rPr>
              <w:t>（一）一般公共预算财政拨款支出决算总体情况</w:t>
            </w:r>
            <w:r>
              <w:rPr>
                <w:rFonts w:hint="eastAsia"/>
              </w:rPr>
              <w:tab/>
            </w:r>
            <w:r>
              <w:rPr>
                <w:rFonts w:hint="eastAsia"/>
              </w:rPr>
              <w:fldChar w:fldCharType="begin"/>
            </w:r>
            <w:r>
              <w:rPr>
                <w:rFonts w:hint="eastAsia"/>
              </w:rPr>
              <w:instrText xml:space="preserve"> </w:instrText>
            </w:r>
            <w:r>
              <w:instrText>PAGEREF _Toc210112696 \h</w:instrText>
            </w:r>
            <w:r>
              <w:rPr>
                <w:rFonts w:hint="eastAsia"/>
              </w:rPr>
              <w:instrText xml:space="preserve"> </w:instrText>
            </w:r>
            <w:r>
              <w:rPr>
                <w:rFonts w:hint="eastAsia"/>
              </w:rPr>
            </w:r>
            <w:r>
              <w:rPr>
                <w:rFonts w:hint="eastAsia"/>
              </w:rPr>
              <w:fldChar w:fldCharType="separate"/>
            </w:r>
            <w:r>
              <w:t>- 6 -</w:t>
            </w:r>
            <w:r>
              <w:rPr>
                <w:rFonts w:hint="eastAsia"/>
              </w:rPr>
              <w:fldChar w:fldCharType="end"/>
            </w:r>
          </w:hyperlink>
        </w:p>
        <w:p w14:paraId="2A75A883" w14:textId="77777777" w:rsidR="00B85073" w:rsidRDefault="00000000">
          <w:pPr>
            <w:pStyle w:val="TOC3"/>
            <w:rPr>
              <w:rFonts w:asciiTheme="minorHAnsi" w:eastAsiaTheme="minorEastAsia" w:hAnsiTheme="minorHAnsi" w:cstheme="minorBidi"/>
              <w:sz w:val="22"/>
              <w14:ligatures w14:val="standardContextual"/>
            </w:rPr>
          </w:pPr>
          <w:hyperlink w:anchor="_Toc210112697" w:history="1">
            <w:r>
              <w:rPr>
                <w:rStyle w:val="af"/>
                <w:rFonts w:asciiTheme="minorEastAsia" w:hAnsiTheme="minorEastAsia" w:cs="楷体_GB2312" w:hint="eastAsia"/>
                <w:b/>
              </w:rPr>
              <w:t>（三）一般公共预算财政拨款支出决算具体情况</w:t>
            </w:r>
            <w:r>
              <w:rPr>
                <w:rFonts w:hint="eastAsia"/>
              </w:rPr>
              <w:tab/>
            </w:r>
            <w:r>
              <w:rPr>
                <w:rFonts w:hint="eastAsia"/>
              </w:rPr>
              <w:fldChar w:fldCharType="begin"/>
            </w:r>
            <w:r>
              <w:rPr>
                <w:rFonts w:hint="eastAsia"/>
              </w:rPr>
              <w:instrText xml:space="preserve"> </w:instrText>
            </w:r>
            <w:r>
              <w:instrText>PAGEREF _Toc210112697 \h</w:instrText>
            </w:r>
            <w:r>
              <w:rPr>
                <w:rFonts w:hint="eastAsia"/>
              </w:rPr>
              <w:instrText xml:space="preserve"> </w:instrText>
            </w:r>
            <w:r>
              <w:rPr>
                <w:rFonts w:hint="eastAsia"/>
              </w:rPr>
            </w:r>
            <w:r>
              <w:rPr>
                <w:rFonts w:hint="eastAsia"/>
              </w:rPr>
              <w:fldChar w:fldCharType="separate"/>
            </w:r>
            <w:r>
              <w:t>- 8 -</w:t>
            </w:r>
            <w:r>
              <w:rPr>
                <w:rFonts w:hint="eastAsia"/>
              </w:rPr>
              <w:fldChar w:fldCharType="end"/>
            </w:r>
          </w:hyperlink>
        </w:p>
        <w:p w14:paraId="7ECE6887" w14:textId="77777777" w:rsidR="00B85073" w:rsidRDefault="00000000">
          <w:pPr>
            <w:pStyle w:val="TOC2"/>
            <w:rPr>
              <w:rFonts w:asciiTheme="minorHAnsi" w:eastAsiaTheme="minorEastAsia" w:hAnsiTheme="minorHAnsi" w:cstheme="minorBidi"/>
              <w:sz w:val="22"/>
              <w14:ligatures w14:val="standardContextual"/>
            </w:rPr>
          </w:pPr>
          <w:hyperlink w:anchor="_Toc210112698" w:history="1">
            <w:r>
              <w:rPr>
                <w:rStyle w:val="af"/>
                <w:rFonts w:asciiTheme="minorEastAsia" w:hAnsiTheme="minorEastAsia" w:hint="eastAsia"/>
              </w:rPr>
              <w:t>六</w:t>
            </w:r>
            <w:r>
              <w:rPr>
                <w:rStyle w:val="af"/>
                <w:rFonts w:asciiTheme="minorEastAsia" w:hAnsiTheme="minorEastAsia" w:hint="eastAsia"/>
                <w:b/>
              </w:rPr>
              <w:t>、一</w:t>
            </w:r>
            <w:r>
              <w:rPr>
                <w:rStyle w:val="af"/>
                <w:rFonts w:asciiTheme="minorEastAsia" w:hAnsiTheme="minorEastAsia" w:cstheme="majorBidi" w:hint="eastAsia"/>
                <w:bCs/>
              </w:rPr>
              <w:t>般公共预算财政拨款基本支出决算情况说明</w:t>
            </w:r>
            <w:r>
              <w:rPr>
                <w:rFonts w:hint="eastAsia"/>
              </w:rPr>
              <w:tab/>
            </w:r>
            <w:r>
              <w:rPr>
                <w:rFonts w:hint="eastAsia"/>
              </w:rPr>
              <w:fldChar w:fldCharType="begin"/>
            </w:r>
            <w:r>
              <w:rPr>
                <w:rFonts w:hint="eastAsia"/>
              </w:rPr>
              <w:instrText xml:space="preserve"> </w:instrText>
            </w:r>
            <w:r>
              <w:instrText>PAGEREF _Toc210112698 \h</w:instrText>
            </w:r>
            <w:r>
              <w:rPr>
                <w:rFonts w:hint="eastAsia"/>
              </w:rPr>
              <w:instrText xml:space="preserve"> </w:instrText>
            </w:r>
            <w:r>
              <w:rPr>
                <w:rFonts w:hint="eastAsia"/>
              </w:rPr>
            </w:r>
            <w:r>
              <w:rPr>
                <w:rFonts w:hint="eastAsia"/>
              </w:rPr>
              <w:fldChar w:fldCharType="separate"/>
            </w:r>
            <w:r>
              <w:t>- 8 -</w:t>
            </w:r>
            <w:r>
              <w:rPr>
                <w:rFonts w:hint="eastAsia"/>
              </w:rPr>
              <w:fldChar w:fldCharType="end"/>
            </w:r>
          </w:hyperlink>
        </w:p>
        <w:p w14:paraId="4F8CF30F" w14:textId="77777777" w:rsidR="00B85073" w:rsidRDefault="00000000">
          <w:pPr>
            <w:pStyle w:val="TOC2"/>
            <w:rPr>
              <w:rFonts w:asciiTheme="minorHAnsi" w:eastAsiaTheme="minorEastAsia" w:hAnsiTheme="minorHAnsi" w:cstheme="minorBidi"/>
              <w:sz w:val="22"/>
              <w14:ligatures w14:val="standardContextual"/>
            </w:rPr>
          </w:pPr>
          <w:hyperlink w:anchor="_Toc210112699" w:history="1">
            <w:r>
              <w:rPr>
                <w:rStyle w:val="af"/>
                <w:rFonts w:asciiTheme="minorEastAsia" w:hAnsiTheme="minorEastAsia" w:hint="eastAsia"/>
              </w:rPr>
              <w:t>七、</w:t>
            </w:r>
            <w:r>
              <w:rPr>
                <w:rStyle w:val="af"/>
                <w:rFonts w:asciiTheme="minorEastAsia" w:hAnsiTheme="minorEastAsia" w:cstheme="majorBidi" w:hint="eastAsia"/>
                <w:bCs/>
              </w:rPr>
              <w:t>财政拨款</w:t>
            </w:r>
            <w:r>
              <w:rPr>
                <w:rStyle w:val="af"/>
                <w:rFonts w:asciiTheme="minorEastAsia" w:hAnsiTheme="minorEastAsia" w:cstheme="majorBidi" w:hint="eastAsia"/>
                <w:b/>
                <w:bCs/>
              </w:rPr>
              <w:t>“</w:t>
            </w:r>
            <w:r>
              <w:rPr>
                <w:rStyle w:val="af"/>
                <w:rFonts w:asciiTheme="minorEastAsia" w:hAnsiTheme="minorEastAsia" w:cstheme="majorBidi" w:hint="eastAsia"/>
                <w:bCs/>
              </w:rPr>
              <w:t>三公”经费支出决算情况说明</w:t>
            </w:r>
            <w:r>
              <w:rPr>
                <w:rFonts w:hint="eastAsia"/>
              </w:rPr>
              <w:tab/>
            </w:r>
            <w:r>
              <w:rPr>
                <w:rFonts w:hint="eastAsia"/>
              </w:rPr>
              <w:fldChar w:fldCharType="begin"/>
            </w:r>
            <w:r>
              <w:rPr>
                <w:rFonts w:hint="eastAsia"/>
              </w:rPr>
              <w:instrText xml:space="preserve"> </w:instrText>
            </w:r>
            <w:r>
              <w:instrText>PAGEREF _Toc210112699 \h</w:instrText>
            </w:r>
            <w:r>
              <w:rPr>
                <w:rFonts w:hint="eastAsia"/>
              </w:rPr>
              <w:instrText xml:space="preserve"> </w:instrText>
            </w:r>
            <w:r>
              <w:rPr>
                <w:rFonts w:hint="eastAsia"/>
              </w:rPr>
            </w:r>
            <w:r>
              <w:rPr>
                <w:rFonts w:hint="eastAsia"/>
              </w:rPr>
              <w:fldChar w:fldCharType="separate"/>
            </w:r>
            <w:r>
              <w:t>- 8 -</w:t>
            </w:r>
            <w:r>
              <w:rPr>
                <w:rFonts w:hint="eastAsia"/>
              </w:rPr>
              <w:fldChar w:fldCharType="end"/>
            </w:r>
          </w:hyperlink>
        </w:p>
        <w:p w14:paraId="6D557591" w14:textId="77777777" w:rsidR="00B85073" w:rsidRDefault="00000000">
          <w:pPr>
            <w:pStyle w:val="TOC3"/>
            <w:rPr>
              <w:rFonts w:asciiTheme="minorHAnsi" w:eastAsiaTheme="minorEastAsia" w:hAnsiTheme="minorHAnsi" w:cstheme="minorBidi"/>
              <w:sz w:val="22"/>
              <w14:ligatures w14:val="standardContextual"/>
            </w:rPr>
          </w:pPr>
          <w:hyperlink w:anchor="_Toc210112700" w:history="1">
            <w:r>
              <w:rPr>
                <w:rStyle w:val="af"/>
                <w:rFonts w:asciiTheme="minorEastAsia" w:hAnsiTheme="minorEastAsia" w:cs="楷体_GB2312" w:hint="eastAsia"/>
                <w:b/>
              </w:rPr>
              <w:t>（一）“三公”经费财政拨款支出决算总体情况说明</w:t>
            </w:r>
            <w:r>
              <w:rPr>
                <w:rFonts w:hint="eastAsia"/>
              </w:rPr>
              <w:tab/>
            </w:r>
            <w:r>
              <w:rPr>
                <w:rFonts w:hint="eastAsia"/>
              </w:rPr>
              <w:fldChar w:fldCharType="begin"/>
            </w:r>
            <w:r>
              <w:rPr>
                <w:rFonts w:hint="eastAsia"/>
              </w:rPr>
              <w:instrText xml:space="preserve"> </w:instrText>
            </w:r>
            <w:r>
              <w:instrText>PAGEREF _Toc210112700 \h</w:instrText>
            </w:r>
            <w:r>
              <w:rPr>
                <w:rFonts w:hint="eastAsia"/>
              </w:rPr>
              <w:instrText xml:space="preserve"> </w:instrText>
            </w:r>
            <w:r>
              <w:rPr>
                <w:rFonts w:hint="eastAsia"/>
              </w:rPr>
            </w:r>
            <w:r>
              <w:rPr>
                <w:rFonts w:hint="eastAsia"/>
              </w:rPr>
              <w:fldChar w:fldCharType="separate"/>
            </w:r>
            <w:r>
              <w:t>- 8 -</w:t>
            </w:r>
            <w:r>
              <w:rPr>
                <w:rFonts w:hint="eastAsia"/>
              </w:rPr>
              <w:fldChar w:fldCharType="end"/>
            </w:r>
          </w:hyperlink>
        </w:p>
        <w:p w14:paraId="028C23D5" w14:textId="77777777" w:rsidR="00B85073" w:rsidRDefault="00000000">
          <w:pPr>
            <w:pStyle w:val="TOC3"/>
            <w:rPr>
              <w:rFonts w:asciiTheme="minorHAnsi" w:eastAsiaTheme="minorEastAsia" w:hAnsiTheme="minorHAnsi" w:cstheme="minorBidi"/>
              <w:sz w:val="22"/>
              <w14:ligatures w14:val="standardContextual"/>
            </w:rPr>
          </w:pPr>
          <w:hyperlink w:anchor="_Toc210112701" w:history="1">
            <w:r>
              <w:rPr>
                <w:rStyle w:val="af"/>
                <w:rFonts w:asciiTheme="minorEastAsia" w:hAnsiTheme="minorEastAsia" w:cs="楷体_GB2312" w:hint="eastAsia"/>
                <w:b/>
              </w:rPr>
              <w:t>（二）“三公”经费财政拨款支出决算具体情况说明</w:t>
            </w:r>
            <w:r>
              <w:rPr>
                <w:rFonts w:hint="eastAsia"/>
              </w:rPr>
              <w:tab/>
            </w:r>
            <w:r>
              <w:rPr>
                <w:rFonts w:hint="eastAsia"/>
              </w:rPr>
              <w:fldChar w:fldCharType="begin"/>
            </w:r>
            <w:r>
              <w:rPr>
                <w:rFonts w:hint="eastAsia"/>
              </w:rPr>
              <w:instrText xml:space="preserve"> </w:instrText>
            </w:r>
            <w:r>
              <w:instrText>PAGEREF _Toc210112701 \h</w:instrText>
            </w:r>
            <w:r>
              <w:rPr>
                <w:rFonts w:hint="eastAsia"/>
              </w:rPr>
              <w:instrText xml:space="preserve"> </w:instrText>
            </w:r>
            <w:r>
              <w:rPr>
                <w:rFonts w:hint="eastAsia"/>
              </w:rPr>
            </w:r>
            <w:r>
              <w:rPr>
                <w:rFonts w:hint="eastAsia"/>
              </w:rPr>
              <w:fldChar w:fldCharType="separate"/>
            </w:r>
            <w:r>
              <w:t>- 8 -</w:t>
            </w:r>
            <w:r>
              <w:rPr>
                <w:rFonts w:hint="eastAsia"/>
              </w:rPr>
              <w:fldChar w:fldCharType="end"/>
            </w:r>
          </w:hyperlink>
        </w:p>
        <w:p w14:paraId="55474213" w14:textId="77777777" w:rsidR="00B85073" w:rsidRDefault="00000000">
          <w:pPr>
            <w:pStyle w:val="TOC2"/>
            <w:rPr>
              <w:rFonts w:asciiTheme="minorHAnsi" w:eastAsiaTheme="minorEastAsia" w:hAnsiTheme="minorHAnsi" w:cstheme="minorBidi"/>
              <w:sz w:val="22"/>
              <w14:ligatures w14:val="standardContextual"/>
            </w:rPr>
          </w:pPr>
          <w:hyperlink w:anchor="_Toc210112702" w:history="1">
            <w:r>
              <w:rPr>
                <w:rStyle w:val="af"/>
                <w:rFonts w:asciiTheme="minorEastAsia" w:hAnsiTheme="minorEastAsia" w:hint="eastAsia"/>
              </w:rPr>
              <w:t>八、</w:t>
            </w:r>
            <w:r>
              <w:rPr>
                <w:rStyle w:val="af"/>
                <w:rFonts w:asciiTheme="minorEastAsia" w:hAnsiTheme="minorEastAsia" w:cstheme="majorBidi" w:hint="eastAsia"/>
                <w:bCs/>
              </w:rPr>
              <w:t>政府性基金预算支出决算情况说明</w:t>
            </w:r>
            <w:r>
              <w:rPr>
                <w:rFonts w:hint="eastAsia"/>
              </w:rPr>
              <w:tab/>
            </w:r>
            <w:r>
              <w:rPr>
                <w:rFonts w:hint="eastAsia"/>
              </w:rPr>
              <w:fldChar w:fldCharType="begin"/>
            </w:r>
            <w:r>
              <w:rPr>
                <w:rFonts w:hint="eastAsia"/>
              </w:rPr>
              <w:instrText xml:space="preserve"> </w:instrText>
            </w:r>
            <w:r>
              <w:instrText>PAGEREF _Toc210112702 \h</w:instrText>
            </w:r>
            <w:r>
              <w:rPr>
                <w:rFonts w:hint="eastAsia"/>
              </w:rPr>
              <w:instrText xml:space="preserve"> </w:instrText>
            </w:r>
            <w:r>
              <w:rPr>
                <w:rFonts w:hint="eastAsia"/>
              </w:rPr>
            </w:r>
            <w:r>
              <w:rPr>
                <w:rFonts w:hint="eastAsia"/>
              </w:rPr>
              <w:fldChar w:fldCharType="separate"/>
            </w:r>
            <w:r>
              <w:t>- 10 -</w:t>
            </w:r>
            <w:r>
              <w:rPr>
                <w:rFonts w:hint="eastAsia"/>
              </w:rPr>
              <w:fldChar w:fldCharType="end"/>
            </w:r>
          </w:hyperlink>
        </w:p>
        <w:p w14:paraId="29BEA660" w14:textId="77777777" w:rsidR="00B85073" w:rsidRDefault="00000000">
          <w:pPr>
            <w:pStyle w:val="TOC2"/>
            <w:rPr>
              <w:rFonts w:asciiTheme="minorHAnsi" w:eastAsiaTheme="minorEastAsia" w:hAnsiTheme="minorHAnsi" w:cstheme="minorBidi"/>
              <w:sz w:val="22"/>
              <w14:ligatures w14:val="standardContextual"/>
            </w:rPr>
          </w:pPr>
          <w:hyperlink w:anchor="_Toc210112703" w:history="1">
            <w:r>
              <w:rPr>
                <w:rStyle w:val="af"/>
                <w:rFonts w:asciiTheme="minorEastAsia" w:hAnsiTheme="minorEastAsia" w:cstheme="majorBidi" w:hint="eastAsia"/>
                <w:bCs/>
              </w:rPr>
              <w:t>九、国有资本经营预算支出决算情况说明</w:t>
            </w:r>
            <w:r>
              <w:rPr>
                <w:rFonts w:hint="eastAsia"/>
              </w:rPr>
              <w:tab/>
            </w:r>
            <w:r>
              <w:rPr>
                <w:rFonts w:hint="eastAsia"/>
              </w:rPr>
              <w:fldChar w:fldCharType="begin"/>
            </w:r>
            <w:r>
              <w:rPr>
                <w:rFonts w:hint="eastAsia"/>
              </w:rPr>
              <w:instrText xml:space="preserve"> </w:instrText>
            </w:r>
            <w:r>
              <w:instrText>PAGEREF _Toc210112703 \h</w:instrText>
            </w:r>
            <w:r>
              <w:rPr>
                <w:rFonts w:hint="eastAsia"/>
              </w:rPr>
              <w:instrText xml:space="preserve"> </w:instrText>
            </w:r>
            <w:r>
              <w:rPr>
                <w:rFonts w:hint="eastAsia"/>
              </w:rPr>
            </w:r>
            <w:r>
              <w:rPr>
                <w:rFonts w:hint="eastAsia"/>
              </w:rPr>
              <w:fldChar w:fldCharType="separate"/>
            </w:r>
            <w:r>
              <w:t>- 10 -</w:t>
            </w:r>
            <w:r>
              <w:rPr>
                <w:rFonts w:hint="eastAsia"/>
              </w:rPr>
              <w:fldChar w:fldCharType="end"/>
            </w:r>
          </w:hyperlink>
        </w:p>
        <w:p w14:paraId="120188B2" w14:textId="77777777" w:rsidR="00B85073" w:rsidRDefault="00000000">
          <w:pPr>
            <w:pStyle w:val="TOC2"/>
            <w:rPr>
              <w:rFonts w:asciiTheme="minorHAnsi" w:eastAsiaTheme="minorEastAsia" w:hAnsiTheme="minorHAnsi" w:cstheme="minorBidi"/>
              <w:sz w:val="22"/>
              <w14:ligatures w14:val="standardContextual"/>
            </w:rPr>
          </w:pPr>
          <w:hyperlink w:anchor="_Toc210112704" w:history="1">
            <w:r>
              <w:rPr>
                <w:rStyle w:val="af"/>
                <w:rFonts w:asciiTheme="minorEastAsia" w:hAnsiTheme="minorEastAsia" w:cstheme="majorBidi" w:hint="eastAsia"/>
                <w:bCs/>
              </w:rPr>
              <w:t>十、其他重要事项的情况说明</w:t>
            </w:r>
            <w:r>
              <w:rPr>
                <w:rFonts w:hint="eastAsia"/>
              </w:rPr>
              <w:tab/>
            </w:r>
            <w:r>
              <w:rPr>
                <w:rFonts w:hint="eastAsia"/>
              </w:rPr>
              <w:fldChar w:fldCharType="begin"/>
            </w:r>
            <w:r>
              <w:rPr>
                <w:rFonts w:hint="eastAsia"/>
              </w:rPr>
              <w:instrText xml:space="preserve"> </w:instrText>
            </w:r>
            <w:r>
              <w:instrText>PAGEREF _Toc210112704 \h</w:instrText>
            </w:r>
            <w:r>
              <w:rPr>
                <w:rFonts w:hint="eastAsia"/>
              </w:rPr>
              <w:instrText xml:space="preserve"> </w:instrText>
            </w:r>
            <w:r>
              <w:rPr>
                <w:rFonts w:hint="eastAsia"/>
              </w:rPr>
            </w:r>
            <w:r>
              <w:rPr>
                <w:rFonts w:hint="eastAsia"/>
              </w:rPr>
              <w:fldChar w:fldCharType="separate"/>
            </w:r>
            <w:r>
              <w:t>- 10 -</w:t>
            </w:r>
            <w:r>
              <w:rPr>
                <w:rFonts w:hint="eastAsia"/>
              </w:rPr>
              <w:fldChar w:fldCharType="end"/>
            </w:r>
          </w:hyperlink>
        </w:p>
        <w:p w14:paraId="5FE5C3A4" w14:textId="77777777" w:rsidR="00B85073" w:rsidRDefault="00000000">
          <w:pPr>
            <w:pStyle w:val="TOC3"/>
            <w:rPr>
              <w:rFonts w:asciiTheme="minorHAnsi" w:eastAsiaTheme="minorEastAsia" w:hAnsiTheme="minorHAnsi" w:cstheme="minorBidi"/>
              <w:sz w:val="22"/>
              <w14:ligatures w14:val="standardContextual"/>
            </w:rPr>
          </w:pPr>
          <w:hyperlink w:anchor="_Toc210112705" w:history="1">
            <w:r>
              <w:rPr>
                <w:rStyle w:val="af"/>
                <w:rFonts w:asciiTheme="minorEastAsia" w:hAnsiTheme="minorEastAsia" w:cs="楷体_GB2312" w:hint="eastAsia"/>
                <w:b/>
              </w:rPr>
              <w:t>（一）机关运行经费支出情况</w:t>
            </w:r>
            <w:r>
              <w:rPr>
                <w:rFonts w:hint="eastAsia"/>
              </w:rPr>
              <w:tab/>
            </w:r>
            <w:r>
              <w:rPr>
                <w:rFonts w:hint="eastAsia"/>
              </w:rPr>
              <w:fldChar w:fldCharType="begin"/>
            </w:r>
            <w:r>
              <w:rPr>
                <w:rFonts w:hint="eastAsia"/>
              </w:rPr>
              <w:instrText xml:space="preserve"> </w:instrText>
            </w:r>
            <w:r>
              <w:instrText>PAGEREF _Toc210112705 \h</w:instrText>
            </w:r>
            <w:r>
              <w:rPr>
                <w:rFonts w:hint="eastAsia"/>
              </w:rPr>
              <w:instrText xml:space="preserve"> </w:instrText>
            </w:r>
            <w:r>
              <w:rPr>
                <w:rFonts w:hint="eastAsia"/>
              </w:rPr>
            </w:r>
            <w:r>
              <w:rPr>
                <w:rFonts w:hint="eastAsia"/>
              </w:rPr>
              <w:fldChar w:fldCharType="separate"/>
            </w:r>
            <w:r>
              <w:t>- 10 -</w:t>
            </w:r>
            <w:r>
              <w:rPr>
                <w:rFonts w:hint="eastAsia"/>
              </w:rPr>
              <w:fldChar w:fldCharType="end"/>
            </w:r>
          </w:hyperlink>
        </w:p>
        <w:p w14:paraId="0C8F6683" w14:textId="77777777" w:rsidR="00B85073" w:rsidRDefault="00000000">
          <w:pPr>
            <w:pStyle w:val="TOC3"/>
            <w:rPr>
              <w:rFonts w:asciiTheme="minorHAnsi" w:eastAsiaTheme="minorEastAsia" w:hAnsiTheme="minorHAnsi" w:cstheme="minorBidi"/>
              <w:sz w:val="22"/>
              <w14:ligatures w14:val="standardContextual"/>
            </w:rPr>
          </w:pPr>
          <w:hyperlink w:anchor="_Toc210112706" w:history="1">
            <w:r>
              <w:rPr>
                <w:rStyle w:val="af"/>
                <w:rFonts w:asciiTheme="minorEastAsia" w:hAnsiTheme="minorEastAsia" w:cs="楷体_GB2312" w:hint="eastAsia"/>
                <w:b/>
              </w:rPr>
              <w:t>（二）政府采购支出情况</w:t>
            </w:r>
            <w:r>
              <w:rPr>
                <w:rFonts w:hint="eastAsia"/>
              </w:rPr>
              <w:tab/>
            </w:r>
            <w:r>
              <w:rPr>
                <w:rFonts w:hint="eastAsia"/>
              </w:rPr>
              <w:fldChar w:fldCharType="begin"/>
            </w:r>
            <w:r>
              <w:rPr>
                <w:rFonts w:hint="eastAsia"/>
              </w:rPr>
              <w:instrText xml:space="preserve"> </w:instrText>
            </w:r>
            <w:r>
              <w:instrText>PAGEREF _Toc210112706 \h</w:instrText>
            </w:r>
            <w:r>
              <w:rPr>
                <w:rFonts w:hint="eastAsia"/>
              </w:rPr>
              <w:instrText xml:space="preserve"> </w:instrText>
            </w:r>
            <w:r>
              <w:rPr>
                <w:rFonts w:hint="eastAsia"/>
              </w:rPr>
            </w:r>
            <w:r>
              <w:rPr>
                <w:rFonts w:hint="eastAsia"/>
              </w:rPr>
              <w:fldChar w:fldCharType="separate"/>
            </w:r>
            <w:r>
              <w:t>- 10 -</w:t>
            </w:r>
            <w:r>
              <w:rPr>
                <w:rFonts w:hint="eastAsia"/>
              </w:rPr>
              <w:fldChar w:fldCharType="end"/>
            </w:r>
          </w:hyperlink>
        </w:p>
        <w:p w14:paraId="745C73B2" w14:textId="77777777" w:rsidR="00B85073" w:rsidRDefault="00000000">
          <w:pPr>
            <w:pStyle w:val="TOC3"/>
            <w:rPr>
              <w:rFonts w:asciiTheme="minorHAnsi" w:eastAsiaTheme="minorEastAsia" w:hAnsiTheme="minorHAnsi" w:cstheme="minorBidi"/>
              <w:sz w:val="22"/>
              <w14:ligatures w14:val="standardContextual"/>
            </w:rPr>
          </w:pPr>
          <w:hyperlink w:anchor="_Toc210112707" w:history="1">
            <w:r>
              <w:rPr>
                <w:rStyle w:val="af"/>
                <w:rFonts w:asciiTheme="minorEastAsia" w:hAnsiTheme="minorEastAsia" w:cs="楷体_GB2312" w:hint="eastAsia"/>
                <w:b/>
              </w:rPr>
              <w:t>（三）国有资产占有使用情况</w:t>
            </w:r>
            <w:r>
              <w:rPr>
                <w:rFonts w:hint="eastAsia"/>
              </w:rPr>
              <w:tab/>
            </w:r>
            <w:r>
              <w:rPr>
                <w:rFonts w:hint="eastAsia"/>
              </w:rPr>
              <w:fldChar w:fldCharType="begin"/>
            </w:r>
            <w:r>
              <w:rPr>
                <w:rFonts w:hint="eastAsia"/>
              </w:rPr>
              <w:instrText xml:space="preserve"> </w:instrText>
            </w:r>
            <w:r>
              <w:instrText>PAGEREF _Toc210112707 \h</w:instrText>
            </w:r>
            <w:r>
              <w:rPr>
                <w:rFonts w:hint="eastAsia"/>
              </w:rPr>
              <w:instrText xml:space="preserve"> </w:instrText>
            </w:r>
            <w:r>
              <w:rPr>
                <w:rFonts w:hint="eastAsia"/>
              </w:rPr>
            </w:r>
            <w:r>
              <w:rPr>
                <w:rFonts w:hint="eastAsia"/>
              </w:rPr>
              <w:fldChar w:fldCharType="separate"/>
            </w:r>
            <w:r>
              <w:t>- 11 -</w:t>
            </w:r>
            <w:r>
              <w:rPr>
                <w:rFonts w:hint="eastAsia"/>
              </w:rPr>
              <w:fldChar w:fldCharType="end"/>
            </w:r>
          </w:hyperlink>
        </w:p>
        <w:p w14:paraId="19CF7824" w14:textId="77777777" w:rsidR="00B85073" w:rsidRDefault="00000000">
          <w:pPr>
            <w:pStyle w:val="TOC3"/>
            <w:rPr>
              <w:rFonts w:asciiTheme="minorHAnsi" w:eastAsiaTheme="minorEastAsia" w:hAnsiTheme="minorHAnsi" w:cstheme="minorBidi"/>
              <w:sz w:val="22"/>
              <w14:ligatures w14:val="standardContextual"/>
            </w:rPr>
          </w:pPr>
          <w:hyperlink w:anchor="_Toc210112708" w:history="1">
            <w:r>
              <w:rPr>
                <w:rStyle w:val="af"/>
                <w:rFonts w:asciiTheme="minorEastAsia" w:hAnsiTheme="minorEastAsia" w:cs="楷体_GB2312" w:hint="eastAsia"/>
                <w:b/>
              </w:rPr>
              <w:t>（四）预算绩效管理情况</w:t>
            </w:r>
            <w:r>
              <w:rPr>
                <w:rFonts w:hint="eastAsia"/>
              </w:rPr>
              <w:tab/>
            </w:r>
            <w:r>
              <w:rPr>
                <w:rFonts w:hint="eastAsia"/>
              </w:rPr>
              <w:fldChar w:fldCharType="begin"/>
            </w:r>
            <w:r>
              <w:rPr>
                <w:rFonts w:hint="eastAsia"/>
              </w:rPr>
              <w:instrText xml:space="preserve"> </w:instrText>
            </w:r>
            <w:r>
              <w:instrText>PAGEREF _Toc210112708 \h</w:instrText>
            </w:r>
            <w:r>
              <w:rPr>
                <w:rFonts w:hint="eastAsia"/>
              </w:rPr>
              <w:instrText xml:space="preserve"> </w:instrText>
            </w:r>
            <w:r>
              <w:rPr>
                <w:rFonts w:hint="eastAsia"/>
              </w:rPr>
            </w:r>
            <w:r>
              <w:rPr>
                <w:rFonts w:hint="eastAsia"/>
              </w:rPr>
              <w:fldChar w:fldCharType="separate"/>
            </w:r>
            <w:r>
              <w:t>- 11 -</w:t>
            </w:r>
            <w:r>
              <w:rPr>
                <w:rFonts w:hint="eastAsia"/>
              </w:rPr>
              <w:fldChar w:fldCharType="end"/>
            </w:r>
          </w:hyperlink>
        </w:p>
        <w:p w14:paraId="4740B5F3" w14:textId="77777777" w:rsidR="00B85073" w:rsidRDefault="00000000">
          <w:pPr>
            <w:pStyle w:val="TOC1"/>
            <w:rPr>
              <w:rFonts w:asciiTheme="minorHAnsi" w:eastAsiaTheme="minorEastAsia" w:hAnsiTheme="minorHAnsi" w:cstheme="minorBidi"/>
              <w:sz w:val="22"/>
              <w:szCs w:val="24"/>
              <w14:ligatures w14:val="standardContextual"/>
            </w:rPr>
          </w:pPr>
          <w:hyperlink w:anchor="_Toc210112709" w:history="1">
            <w:r>
              <w:rPr>
                <w:rStyle w:val="af"/>
                <w:rFonts w:asciiTheme="minorEastAsia" w:hAnsiTheme="minorEastAsia" w:hint="eastAsia"/>
              </w:rPr>
              <w:t>第三部分</w:t>
            </w:r>
            <w:r>
              <w:rPr>
                <w:rStyle w:val="af"/>
                <w:rFonts w:asciiTheme="minorEastAsia" w:hAnsiTheme="minorEastAsia" w:hint="eastAsia"/>
              </w:rPr>
              <w:t xml:space="preserve">  </w:t>
            </w:r>
            <w:r>
              <w:rPr>
                <w:rStyle w:val="af"/>
                <w:rFonts w:asciiTheme="minorEastAsia" w:hAnsiTheme="minorEastAsia" w:hint="eastAsia"/>
              </w:rPr>
              <w:t>名词解释</w:t>
            </w:r>
            <w:r>
              <w:rPr>
                <w:rFonts w:hint="eastAsia"/>
              </w:rPr>
              <w:tab/>
            </w:r>
            <w:r>
              <w:rPr>
                <w:rFonts w:hint="eastAsia"/>
              </w:rPr>
              <w:fldChar w:fldCharType="begin"/>
            </w:r>
            <w:r>
              <w:rPr>
                <w:rFonts w:hint="eastAsia"/>
              </w:rPr>
              <w:instrText xml:space="preserve"> </w:instrText>
            </w:r>
            <w:r>
              <w:instrText>PAGEREF _Toc210112709 \h</w:instrText>
            </w:r>
            <w:r>
              <w:rPr>
                <w:rFonts w:hint="eastAsia"/>
              </w:rPr>
              <w:instrText xml:space="preserve"> </w:instrText>
            </w:r>
            <w:r>
              <w:rPr>
                <w:rFonts w:hint="eastAsia"/>
              </w:rPr>
            </w:r>
            <w:r>
              <w:rPr>
                <w:rFonts w:hint="eastAsia"/>
              </w:rPr>
              <w:fldChar w:fldCharType="separate"/>
            </w:r>
            <w:r>
              <w:rPr>
                <w:rFonts w:hint="eastAsia"/>
              </w:rPr>
              <w:t>- 12 -</w:t>
            </w:r>
            <w:r>
              <w:rPr>
                <w:rFonts w:hint="eastAsia"/>
              </w:rPr>
              <w:fldChar w:fldCharType="end"/>
            </w:r>
          </w:hyperlink>
        </w:p>
        <w:p w14:paraId="1890FFF3" w14:textId="77777777" w:rsidR="00B85073" w:rsidRDefault="00000000">
          <w:pPr>
            <w:pStyle w:val="TOC1"/>
            <w:rPr>
              <w:rFonts w:asciiTheme="minorHAnsi" w:eastAsiaTheme="minorEastAsia" w:hAnsiTheme="minorHAnsi" w:cstheme="minorBidi"/>
              <w:sz w:val="22"/>
              <w:szCs w:val="24"/>
              <w14:ligatures w14:val="standardContextual"/>
            </w:rPr>
          </w:pPr>
          <w:hyperlink w:anchor="_Toc210112710" w:history="1">
            <w:r>
              <w:rPr>
                <w:rStyle w:val="af"/>
                <w:rFonts w:asciiTheme="minorEastAsia" w:hAnsiTheme="minorEastAsia" w:cs="黑体" w:hint="eastAsia"/>
              </w:rPr>
              <w:t>部门预算项目支出绩效自评表（</w:t>
            </w:r>
            <w:r>
              <w:rPr>
                <w:rStyle w:val="af"/>
                <w:rFonts w:asciiTheme="minorEastAsia" w:hAnsiTheme="minorEastAsia" w:cs="黑体" w:hint="eastAsia"/>
              </w:rPr>
              <w:t>2024</w:t>
            </w:r>
            <w:r>
              <w:rPr>
                <w:rStyle w:val="af"/>
                <w:rFonts w:asciiTheme="minorEastAsia" w:hAnsiTheme="minorEastAsia" w:cs="黑体" w:hint="eastAsia"/>
              </w:rPr>
              <w:t>年度）</w:t>
            </w:r>
            <w:r>
              <w:rPr>
                <w:rFonts w:hint="eastAsia"/>
              </w:rPr>
              <w:tab/>
            </w:r>
            <w:r>
              <w:rPr>
                <w:rFonts w:hint="eastAsia"/>
              </w:rPr>
              <w:fldChar w:fldCharType="begin"/>
            </w:r>
            <w:r>
              <w:rPr>
                <w:rFonts w:hint="eastAsia"/>
              </w:rPr>
              <w:instrText xml:space="preserve"> </w:instrText>
            </w:r>
            <w:r>
              <w:instrText>PAGEREF _Toc210112710 \h</w:instrText>
            </w:r>
            <w:r>
              <w:rPr>
                <w:rFonts w:hint="eastAsia"/>
              </w:rPr>
              <w:instrText xml:space="preserve"> </w:instrText>
            </w:r>
            <w:r>
              <w:rPr>
                <w:rFonts w:hint="eastAsia"/>
              </w:rPr>
            </w:r>
            <w:r>
              <w:rPr>
                <w:rFonts w:hint="eastAsia"/>
              </w:rPr>
              <w:fldChar w:fldCharType="separate"/>
            </w:r>
            <w:r>
              <w:rPr>
                <w:rFonts w:hint="eastAsia"/>
              </w:rPr>
              <w:t>- 15 -</w:t>
            </w:r>
            <w:r>
              <w:rPr>
                <w:rFonts w:hint="eastAsia"/>
              </w:rPr>
              <w:fldChar w:fldCharType="end"/>
            </w:r>
          </w:hyperlink>
        </w:p>
        <w:p w14:paraId="0DB7CA7F" w14:textId="77777777" w:rsidR="00B85073" w:rsidRDefault="00000000">
          <w:pPr>
            <w:rPr>
              <w:b/>
              <w:bCs/>
              <w:lang w:val="zh-CN"/>
            </w:rPr>
          </w:pPr>
          <w:r>
            <w:rPr>
              <w:b/>
              <w:bCs/>
              <w:lang w:val="zh-CN"/>
            </w:rPr>
            <w:fldChar w:fldCharType="end"/>
          </w:r>
        </w:p>
        <w:p w14:paraId="5EE02CF9" w14:textId="77777777" w:rsidR="00B85073" w:rsidRDefault="00B85073">
          <w:pPr>
            <w:pStyle w:val="a0"/>
            <w:rPr>
              <w:lang w:val="zh-CN"/>
            </w:rPr>
          </w:pPr>
        </w:p>
        <w:p w14:paraId="592A2732" w14:textId="77777777" w:rsidR="00B85073" w:rsidRDefault="00000000">
          <w:pPr>
            <w:pStyle w:val="21"/>
            <w:ind w:left="420" w:firstLine="422"/>
            <w:rPr>
              <w:lang w:val="zh-CN"/>
            </w:rPr>
          </w:pPr>
        </w:p>
      </w:sdtContent>
    </w:sdt>
    <w:p w14:paraId="252FA443" w14:textId="77777777" w:rsidR="001245B0" w:rsidRDefault="001245B0">
      <w:pPr>
        <w:pStyle w:val="1"/>
        <w:jc w:val="center"/>
        <w:rPr>
          <w:rFonts w:asciiTheme="minorEastAsia" w:eastAsiaTheme="minorEastAsia" w:hAnsiTheme="minorEastAsia" w:cs="方正小标宋简体"/>
          <w:b w:val="0"/>
        </w:rPr>
      </w:pPr>
      <w:bookmarkStart w:id="8" w:name="_Toc210112687"/>
    </w:p>
    <w:p w14:paraId="412E81BB" w14:textId="13CFC7C6" w:rsidR="00B85073" w:rsidRDefault="00000000">
      <w:pPr>
        <w:pStyle w:val="1"/>
        <w:jc w:val="center"/>
        <w:rPr>
          <w:rFonts w:asciiTheme="minorEastAsia" w:eastAsiaTheme="minorEastAsia" w:hAnsiTheme="minorEastAsia" w:cs="方正小标宋简体" w:hint="eastAsia"/>
          <w:bCs w:val="0"/>
        </w:rPr>
      </w:pPr>
      <w:r>
        <w:rPr>
          <w:rFonts w:asciiTheme="minorEastAsia" w:eastAsiaTheme="minorEastAsia" w:hAnsiTheme="minorEastAsia" w:cs="方正小标宋简体" w:hint="eastAsia"/>
          <w:b w:val="0"/>
        </w:rPr>
        <w:t xml:space="preserve">第一部分  </w:t>
      </w:r>
      <w:r>
        <w:rPr>
          <w:rStyle w:val="10"/>
          <w:rFonts w:asciiTheme="minorEastAsia" w:eastAsiaTheme="minorEastAsia" w:hAnsiTheme="minorEastAsia" w:cs="方正小标宋简体" w:hint="eastAsia"/>
        </w:rPr>
        <w:t>部门概况</w:t>
      </w:r>
      <w:bookmarkEnd w:id="7"/>
      <w:bookmarkEnd w:id="6"/>
      <w:bookmarkEnd w:id="8"/>
    </w:p>
    <w:p w14:paraId="3033B13C" w14:textId="77777777" w:rsidR="00B85073" w:rsidRDefault="00000000">
      <w:pPr>
        <w:pStyle w:val="2"/>
        <w:rPr>
          <w:rFonts w:asciiTheme="minorEastAsia" w:eastAsiaTheme="minorEastAsia" w:hAnsiTheme="minorEastAsia" w:hint="eastAsia"/>
          <w:b w:val="0"/>
        </w:rPr>
      </w:pPr>
      <w:bookmarkStart w:id="9" w:name="_Toc15377197"/>
      <w:bookmarkStart w:id="10" w:name="_Toc15396600"/>
      <w:bookmarkStart w:id="11" w:name="_Toc210112688"/>
      <w:r>
        <w:rPr>
          <w:rFonts w:asciiTheme="minorEastAsia" w:eastAsiaTheme="minorEastAsia" w:hAnsiTheme="minorEastAsia" w:hint="eastAsia"/>
          <w:b w:val="0"/>
        </w:rPr>
        <w:t>一、</w:t>
      </w:r>
      <w:bookmarkEnd w:id="9"/>
      <w:bookmarkEnd w:id="10"/>
      <w:r>
        <w:rPr>
          <w:rFonts w:asciiTheme="minorEastAsia" w:eastAsiaTheme="minorEastAsia" w:hAnsiTheme="minorEastAsia" w:hint="eastAsia"/>
          <w:b w:val="0"/>
        </w:rPr>
        <w:t>部门职责</w:t>
      </w:r>
      <w:bookmarkEnd w:id="11"/>
    </w:p>
    <w:p w14:paraId="4A231D84" w14:textId="77777777" w:rsidR="00B85073" w:rsidRDefault="00000000">
      <w:pPr>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本单位具体承担全市妇幼公共卫生工作业务指导以及临床医疗保健等工作。</w:t>
      </w:r>
    </w:p>
    <w:p w14:paraId="40303F2C" w14:textId="77777777" w:rsidR="00B85073" w:rsidRDefault="00000000">
      <w:pPr>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（1）贯彻落实《母婴保健法》、《计划生育技术服务管理条例》等相关法律法规和规章制度。掌握本辖区妇女儿童健康状况及影响因素，拟定本辖区妇幼保健工作的相关政策、技术规范及各项规章制度。</w:t>
      </w:r>
    </w:p>
    <w:p w14:paraId="15F45C3F" w14:textId="77777777" w:rsidR="00B85073" w:rsidRDefault="00000000">
      <w:pPr>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（2）对全市各级各类医疗和妇幼保健计划生育服务机构开展的妇幼保健、计划生育服务进行检查、考核与评价。负责全市</w:t>
      </w:r>
      <w:proofErr w:type="gramStart"/>
      <w:r>
        <w:rPr>
          <w:rFonts w:asciiTheme="minorEastAsia" w:eastAsiaTheme="minorEastAsia" w:hAnsiTheme="minorEastAsia" w:hint="eastAsia"/>
          <w:sz w:val="32"/>
          <w:szCs w:val="32"/>
        </w:rPr>
        <w:t>孕</w:t>
      </w:r>
      <w:proofErr w:type="gramEnd"/>
      <w:r>
        <w:rPr>
          <w:rFonts w:asciiTheme="minorEastAsia" w:eastAsiaTheme="minorEastAsia" w:hAnsiTheme="minorEastAsia" w:hint="eastAsia"/>
          <w:sz w:val="32"/>
          <w:szCs w:val="32"/>
        </w:rPr>
        <w:t>产妇死亡、婴儿及5岁以下儿童死亡、出生缺陷监测、妇幼保健服务及技术管理等信息的收集、统计、分析、质量控制和汇总上报。</w:t>
      </w:r>
    </w:p>
    <w:p w14:paraId="5A838785" w14:textId="77777777" w:rsidR="00B85073" w:rsidRDefault="00000000">
      <w:pPr>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（3）开展母婴保健技术鉴定、计划生育手术并发症鉴定及病残儿医学鉴定等工作。</w:t>
      </w:r>
    </w:p>
    <w:p w14:paraId="02F2E0B9" w14:textId="77777777" w:rsidR="00B85073" w:rsidRDefault="00000000">
      <w:pPr>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（4）负责指导和开展全市妇幼保健及计划生育健康教育与健康促进工作；组织实施本辖区妇幼保健和计划生育技术培训，对基层医疗、妇幼保健计划生育机构进行业务指导，接受转诊。</w:t>
      </w:r>
    </w:p>
    <w:p w14:paraId="3AA3BFCC" w14:textId="77777777" w:rsidR="00B85073" w:rsidRDefault="00000000">
      <w:pPr>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lastRenderedPageBreak/>
        <w:t>（5）开展妇女保健服务和儿童保健服务，包括青春期保健、婚前和孕前保健、孕产期保健、更年期保健、老年期保健和胎儿期、婴幼儿期、学龄前期及学龄期保健，受卫生计生行政部门委托对托幼园机构卫生保健进行管理和业务指导。</w:t>
      </w:r>
    </w:p>
    <w:p w14:paraId="3701BD7E" w14:textId="77777777" w:rsidR="00B85073" w:rsidRDefault="00000000">
      <w:pPr>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（6）开展男性生殖保健服务，围绕男性生育、节育、不育、性功能障碍、常见生殖道感染、性传播疾病等开展相关咨询及医疗保健服务。</w:t>
      </w:r>
    </w:p>
    <w:p w14:paraId="58CF6715" w14:textId="77777777" w:rsidR="00B85073" w:rsidRDefault="00000000">
      <w:pPr>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7）开展妇女儿童常见疾病诊治、妇女“两癌”筛查、产前筛查、助产技术服务、婚前医学检查、孕前优生健康检查、出生缺陷防治、产科并发症处理、新生儿疾病筛查、新生儿危重症抢救和治疗及开展计划生育技术指导、咨询及相关临床医疗服务。</w:t>
      </w:r>
    </w:p>
    <w:p w14:paraId="27B28871" w14:textId="77777777" w:rsidR="00B85073" w:rsidRDefault="00000000">
      <w:pPr>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（8）协助上级医疗保健机构开展妇幼卫生、计划生育、生殖健康的应用性科学研究并组织推广适宜技术；配合疾病预防控制部门做好计划免疫接种和传染病管理工作。</w:t>
      </w:r>
    </w:p>
    <w:p w14:paraId="07291B8A" w14:textId="77777777" w:rsidR="00B85073" w:rsidRDefault="00000000">
      <w:pPr>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（9）完成上级交办的临时性任务。</w:t>
      </w:r>
    </w:p>
    <w:p w14:paraId="4F12315B" w14:textId="77777777" w:rsidR="00B85073" w:rsidRDefault="00000000">
      <w:pPr>
        <w:pStyle w:val="2"/>
        <w:rPr>
          <w:rStyle w:val="20"/>
          <w:rFonts w:asciiTheme="minorEastAsia" w:eastAsiaTheme="minorEastAsia" w:hAnsiTheme="minorEastAsia" w:hint="eastAsia"/>
        </w:rPr>
      </w:pPr>
      <w:bookmarkStart w:id="12" w:name="_Toc15396601"/>
      <w:bookmarkStart w:id="13" w:name="_Toc15377200"/>
      <w:bookmarkStart w:id="14" w:name="_Toc210112689"/>
      <w:r>
        <w:rPr>
          <w:rFonts w:asciiTheme="minorEastAsia" w:eastAsiaTheme="minorEastAsia" w:hAnsiTheme="minorEastAsia" w:hint="eastAsia"/>
          <w:b w:val="0"/>
        </w:rPr>
        <w:t>二、机</w:t>
      </w:r>
      <w:r>
        <w:rPr>
          <w:rStyle w:val="20"/>
          <w:rFonts w:asciiTheme="minorEastAsia" w:eastAsiaTheme="minorEastAsia" w:hAnsiTheme="minorEastAsia" w:hint="eastAsia"/>
        </w:rPr>
        <w:t>构设置</w:t>
      </w:r>
      <w:bookmarkEnd w:id="12"/>
      <w:bookmarkEnd w:id="13"/>
      <w:bookmarkEnd w:id="14"/>
    </w:p>
    <w:p w14:paraId="07FC610E" w14:textId="77777777" w:rsidR="00B85073" w:rsidRDefault="00000000">
      <w:pPr>
        <w:ind w:firstLineChars="250" w:firstLine="80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sz w:val="32"/>
          <w:szCs w:val="32"/>
        </w:rPr>
        <w:t>巴中市妇幼保健院无下属二级预算单位。</w:t>
      </w:r>
    </w:p>
    <w:p w14:paraId="78240643" w14:textId="77777777" w:rsidR="00B85073" w:rsidRDefault="00000000">
      <w:pPr>
        <w:pStyle w:val="a0"/>
      </w:pPr>
      <w:r>
        <w:rPr>
          <w:rFonts w:hint="eastAsia"/>
        </w:rPr>
        <w:br w:type="page"/>
      </w:r>
    </w:p>
    <w:p w14:paraId="191130AD" w14:textId="77777777" w:rsidR="00B85073" w:rsidRDefault="00000000">
      <w:pPr>
        <w:pStyle w:val="1"/>
        <w:jc w:val="center"/>
        <w:rPr>
          <w:rFonts w:asciiTheme="minorEastAsia" w:eastAsiaTheme="minorEastAsia" w:hAnsiTheme="minorEastAsia" w:cs="方正小标宋简体" w:hint="eastAsia"/>
          <w:b w:val="0"/>
        </w:rPr>
      </w:pPr>
      <w:bookmarkStart w:id="15" w:name="_Toc15377204"/>
      <w:bookmarkStart w:id="16" w:name="_Toc15396602"/>
      <w:bookmarkStart w:id="17" w:name="_Toc210112690"/>
      <w:r>
        <w:rPr>
          <w:rFonts w:asciiTheme="minorEastAsia" w:eastAsiaTheme="minorEastAsia" w:hAnsiTheme="minorEastAsia" w:cs="方正小标宋简体" w:hint="eastAsia"/>
          <w:b w:val="0"/>
        </w:rPr>
        <w:lastRenderedPageBreak/>
        <w:t>第二部分  2024年度部门决算情况说明</w:t>
      </w:r>
      <w:bookmarkEnd w:id="15"/>
      <w:bookmarkEnd w:id="16"/>
      <w:bookmarkEnd w:id="17"/>
    </w:p>
    <w:p w14:paraId="43852BE6" w14:textId="77777777" w:rsidR="00B85073" w:rsidRDefault="00000000">
      <w:pPr>
        <w:pStyle w:val="af0"/>
        <w:spacing w:line="600" w:lineRule="exact"/>
        <w:ind w:firstLine="640"/>
        <w:outlineLvl w:val="1"/>
        <w:rPr>
          <w:rStyle w:val="20"/>
          <w:rFonts w:asciiTheme="minorEastAsia" w:eastAsiaTheme="minorEastAsia" w:hAnsiTheme="minorEastAsia" w:hint="eastAsia"/>
          <w:b w:val="0"/>
        </w:rPr>
      </w:pPr>
      <w:bookmarkStart w:id="18" w:name="_Toc15396603"/>
      <w:bookmarkStart w:id="19" w:name="_Toc210112691"/>
      <w:bookmarkStart w:id="20" w:name="_Toc15377205"/>
      <w:r>
        <w:rPr>
          <w:rFonts w:asciiTheme="minorEastAsia" w:eastAsiaTheme="minorEastAsia" w:hAnsiTheme="minorEastAsia" w:hint="eastAsia"/>
          <w:sz w:val="32"/>
          <w:szCs w:val="32"/>
        </w:rPr>
        <w:t>一、收</w:t>
      </w:r>
      <w:r>
        <w:rPr>
          <w:rStyle w:val="20"/>
          <w:rFonts w:asciiTheme="minorEastAsia" w:eastAsiaTheme="minorEastAsia" w:hAnsiTheme="minorEastAsia" w:hint="eastAsia"/>
          <w:b w:val="0"/>
        </w:rPr>
        <w:t>入支出决算总体情况说明</w:t>
      </w:r>
      <w:bookmarkEnd w:id="18"/>
      <w:bookmarkEnd w:id="19"/>
      <w:bookmarkEnd w:id="20"/>
    </w:p>
    <w:p w14:paraId="66F1E23B" w14:textId="77777777" w:rsidR="00B85073" w:rsidRDefault="00000000">
      <w:pPr>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2024年度收入总计为9772.17万元，2024年度支出总计均为9776.69万元。与2023年度相比，收入总计减少940.85万元，下降8.78%；支出总计减少1031.89万元，下降9.55%。主要变动原因是：1.2023年多申报事业收入2812.06万元，这部分收入已经申报为政府性基金预算财政拨款收入；2.2023年度多申报事业支出2651.73万元；3.2024年度争取到一般债券3300万元用于医疗设备购置。</w:t>
      </w:r>
    </w:p>
    <w:p w14:paraId="6880DCCE" w14:textId="77777777" w:rsidR="00B85073" w:rsidRDefault="00000000">
      <w:pPr>
        <w:jc w:val="center"/>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noProof/>
          <w:sz w:val="32"/>
          <w:szCs w:val="32"/>
        </w:rPr>
        <w:drawing>
          <wp:anchor distT="0" distB="0" distL="114300" distR="114300" simplePos="0" relativeHeight="251659264" behindDoc="0" locked="0" layoutInCell="1" allowOverlap="1" wp14:anchorId="1E2225F7" wp14:editId="1F173519">
            <wp:simplePos x="0" y="0"/>
            <wp:positionH relativeFrom="column">
              <wp:posOffset>33655</wp:posOffset>
            </wp:positionH>
            <wp:positionV relativeFrom="paragraph">
              <wp:posOffset>473075</wp:posOffset>
            </wp:positionV>
            <wp:extent cx="5306060" cy="3004820"/>
            <wp:effectExtent l="0" t="0" r="8890" b="5080"/>
            <wp:wrapTopAndBottom/>
            <wp:docPr id="197106177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asciiTheme="minorEastAsia" w:eastAsiaTheme="minorEastAsia" w:hAnsiTheme="minorEastAsia" w:cs="仿宋_GB2312" w:hint="eastAsia"/>
          <w:sz w:val="32"/>
          <w:szCs w:val="32"/>
        </w:rPr>
        <w:t>（图1：收入、支出决算总计变动情况图）</w:t>
      </w:r>
    </w:p>
    <w:p w14:paraId="32A3AFD7" w14:textId="77777777" w:rsidR="00B85073" w:rsidRDefault="00000000">
      <w:pPr>
        <w:pStyle w:val="af0"/>
        <w:spacing w:line="600" w:lineRule="exact"/>
        <w:ind w:firstLine="640"/>
        <w:outlineLvl w:val="1"/>
        <w:rPr>
          <w:rFonts w:asciiTheme="minorEastAsia" w:eastAsiaTheme="minorEastAsia" w:hAnsiTheme="minorEastAsia" w:hint="eastAsia"/>
          <w:sz w:val="32"/>
          <w:szCs w:val="32"/>
        </w:rPr>
      </w:pPr>
      <w:bookmarkStart w:id="21" w:name="_Toc15396604"/>
      <w:bookmarkStart w:id="22" w:name="_Toc15377206"/>
      <w:bookmarkStart w:id="23" w:name="_Toc210112692"/>
      <w:r>
        <w:rPr>
          <w:rFonts w:asciiTheme="minorEastAsia" w:eastAsiaTheme="minorEastAsia" w:hAnsiTheme="minorEastAsia" w:hint="eastAsia"/>
          <w:sz w:val="32"/>
          <w:szCs w:val="32"/>
        </w:rPr>
        <w:t>二、收入决算情况说明</w:t>
      </w:r>
      <w:bookmarkEnd w:id="21"/>
      <w:bookmarkEnd w:id="22"/>
      <w:bookmarkEnd w:id="23"/>
    </w:p>
    <w:p w14:paraId="4C9D9F40" w14:textId="77777777" w:rsidR="00B85073" w:rsidRDefault="00000000">
      <w:pPr>
        <w:ind w:firstLineChars="200" w:firstLine="640"/>
        <w:rPr>
          <w:rFonts w:asciiTheme="minorEastAsia" w:eastAsiaTheme="minorEastAsia" w:hAnsiTheme="minorEastAsia" w:hint="eastAsia"/>
          <w:b/>
          <w:bCs/>
          <w:sz w:val="32"/>
          <w:szCs w:val="32"/>
        </w:rPr>
      </w:pPr>
      <w:r>
        <w:rPr>
          <w:rFonts w:asciiTheme="minorEastAsia" w:eastAsiaTheme="minorEastAsia" w:hAnsiTheme="minorEastAsia" w:hint="eastAsia"/>
          <w:sz w:val="32"/>
          <w:szCs w:val="32"/>
        </w:rPr>
        <w:t>2024年度本年收入合计9772.17万元，其中：一般公共预算财政拨款收入4304.44万元，占44.05%；政府性基金预算财政拨款收入2747.34万元，占28.11%；事业收入2668.67</w:t>
      </w:r>
      <w:r>
        <w:rPr>
          <w:rFonts w:asciiTheme="minorEastAsia" w:eastAsiaTheme="minorEastAsia" w:hAnsiTheme="minorEastAsia" w:hint="eastAsia"/>
          <w:sz w:val="32"/>
          <w:szCs w:val="32"/>
        </w:rPr>
        <w:lastRenderedPageBreak/>
        <w:t>万元，占27.31%；其他收入51.72万元，占0.53%。</w:t>
      </w:r>
    </w:p>
    <w:p w14:paraId="55F3336A" w14:textId="77777777" w:rsidR="00B85073" w:rsidRDefault="00000000">
      <w:pPr>
        <w:ind w:firstLineChars="250" w:firstLine="80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noProof/>
          <w:sz w:val="32"/>
          <w:szCs w:val="32"/>
        </w:rPr>
        <w:drawing>
          <wp:anchor distT="0" distB="0" distL="114300" distR="114300" simplePos="0" relativeHeight="251660288" behindDoc="1" locked="0" layoutInCell="1" allowOverlap="1" wp14:anchorId="585CB4AE" wp14:editId="778C64AE">
            <wp:simplePos x="0" y="0"/>
            <wp:positionH relativeFrom="column">
              <wp:posOffset>1270</wp:posOffset>
            </wp:positionH>
            <wp:positionV relativeFrom="paragraph">
              <wp:posOffset>424180</wp:posOffset>
            </wp:positionV>
            <wp:extent cx="5274310" cy="3076575"/>
            <wp:effectExtent l="0" t="0" r="2540" b="9525"/>
            <wp:wrapTopAndBottom/>
            <wp:docPr id="1870819100"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asciiTheme="minorEastAsia" w:eastAsiaTheme="minorEastAsia" w:hAnsiTheme="minorEastAsia" w:cs="仿宋_GB2312" w:hint="eastAsia"/>
          <w:sz w:val="32"/>
          <w:szCs w:val="32"/>
        </w:rPr>
        <w:t>（图2：收入决算结构图）</w:t>
      </w:r>
    </w:p>
    <w:p w14:paraId="6E084930" w14:textId="77777777" w:rsidR="00B85073" w:rsidRDefault="00000000">
      <w:pPr>
        <w:pStyle w:val="af0"/>
        <w:spacing w:line="600" w:lineRule="exact"/>
        <w:ind w:firstLine="640"/>
        <w:outlineLvl w:val="1"/>
        <w:rPr>
          <w:rStyle w:val="20"/>
          <w:rFonts w:asciiTheme="minorEastAsia" w:eastAsiaTheme="minorEastAsia" w:hAnsiTheme="minorEastAsia" w:hint="eastAsia"/>
          <w:b w:val="0"/>
        </w:rPr>
      </w:pPr>
      <w:bookmarkStart w:id="24" w:name="_Toc15377207"/>
      <w:bookmarkStart w:id="25" w:name="_Toc15396605"/>
      <w:bookmarkStart w:id="26" w:name="_Toc210112693"/>
      <w:r>
        <w:rPr>
          <w:rFonts w:asciiTheme="minorEastAsia" w:eastAsiaTheme="minorEastAsia" w:hAnsiTheme="minorEastAsia" w:hint="eastAsia"/>
          <w:sz w:val="32"/>
          <w:szCs w:val="32"/>
        </w:rPr>
        <w:t>三、支</w:t>
      </w:r>
      <w:r>
        <w:rPr>
          <w:rStyle w:val="20"/>
          <w:rFonts w:asciiTheme="minorEastAsia" w:eastAsiaTheme="minorEastAsia" w:hAnsiTheme="minorEastAsia" w:hint="eastAsia"/>
          <w:b w:val="0"/>
        </w:rPr>
        <w:t>出决算情况说明</w:t>
      </w:r>
      <w:bookmarkEnd w:id="24"/>
      <w:bookmarkEnd w:id="25"/>
      <w:bookmarkEnd w:id="26"/>
    </w:p>
    <w:p w14:paraId="4EECB4EA" w14:textId="77777777" w:rsidR="00B85073" w:rsidRDefault="00000000">
      <w:pPr>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2024年度本年支出合计9776.69万元，其中：基本支出4176.85万元，占42.72%；项目支出5599.84万元，占57.28%。</w:t>
      </w:r>
    </w:p>
    <w:p w14:paraId="69E56639" w14:textId="77777777" w:rsidR="00B85073" w:rsidRDefault="00000000">
      <w:pPr>
        <w:ind w:firstLineChars="250" w:firstLine="80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noProof/>
          <w:sz w:val="32"/>
          <w:szCs w:val="32"/>
        </w:rPr>
        <w:drawing>
          <wp:anchor distT="0" distB="0" distL="114300" distR="114300" simplePos="0" relativeHeight="251661312" behindDoc="0" locked="0" layoutInCell="1" allowOverlap="1" wp14:anchorId="5FFF4F82" wp14:editId="609A286F">
            <wp:simplePos x="0" y="0"/>
            <wp:positionH relativeFrom="column">
              <wp:posOffset>41275</wp:posOffset>
            </wp:positionH>
            <wp:positionV relativeFrom="paragraph">
              <wp:posOffset>485140</wp:posOffset>
            </wp:positionV>
            <wp:extent cx="5152390" cy="2488565"/>
            <wp:effectExtent l="0" t="0" r="10160" b="6985"/>
            <wp:wrapTopAndBottom/>
            <wp:docPr id="362673269"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Theme="minorEastAsia" w:eastAsiaTheme="minorEastAsia" w:hAnsiTheme="minorEastAsia" w:cs="仿宋_GB2312" w:hint="eastAsia"/>
          <w:sz w:val="32"/>
          <w:szCs w:val="32"/>
        </w:rPr>
        <w:t>（图3：支出决算结构图）</w:t>
      </w:r>
    </w:p>
    <w:p w14:paraId="208F8428" w14:textId="77777777" w:rsidR="00B85073" w:rsidRDefault="00000000">
      <w:pPr>
        <w:spacing w:line="600" w:lineRule="exact"/>
        <w:ind w:firstLineChars="200" w:firstLine="640"/>
        <w:outlineLvl w:val="1"/>
        <w:rPr>
          <w:rStyle w:val="20"/>
          <w:rFonts w:asciiTheme="minorEastAsia" w:eastAsiaTheme="minorEastAsia" w:hAnsiTheme="minorEastAsia" w:hint="eastAsia"/>
          <w:b w:val="0"/>
        </w:rPr>
      </w:pPr>
      <w:bookmarkStart w:id="27" w:name="_Toc15377208"/>
      <w:bookmarkStart w:id="28" w:name="_Toc15396606"/>
      <w:bookmarkStart w:id="29" w:name="_Toc210112694"/>
      <w:r>
        <w:rPr>
          <w:rFonts w:asciiTheme="minorEastAsia" w:eastAsiaTheme="minorEastAsia" w:hAnsiTheme="minorEastAsia" w:hint="eastAsia"/>
          <w:sz w:val="32"/>
          <w:szCs w:val="32"/>
        </w:rPr>
        <w:t>四、财</w:t>
      </w:r>
      <w:r>
        <w:rPr>
          <w:rStyle w:val="20"/>
          <w:rFonts w:asciiTheme="minorEastAsia" w:eastAsiaTheme="minorEastAsia" w:hAnsiTheme="minorEastAsia" w:hint="eastAsia"/>
          <w:b w:val="0"/>
        </w:rPr>
        <w:t>政拨款收入支出决算总体情况说明</w:t>
      </w:r>
      <w:bookmarkEnd w:id="27"/>
      <w:bookmarkEnd w:id="28"/>
      <w:bookmarkEnd w:id="29"/>
    </w:p>
    <w:p w14:paraId="3CCDB824" w14:textId="77777777" w:rsidR="00B85073" w:rsidRDefault="00000000">
      <w:pPr>
        <w:spacing w:line="600" w:lineRule="exact"/>
        <w:ind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sz w:val="32"/>
          <w:szCs w:val="32"/>
        </w:rPr>
        <w:t>2024年度财政拨款收入、支出总计均为7051.78万元。</w:t>
      </w:r>
      <w:r>
        <w:rPr>
          <w:rFonts w:asciiTheme="minorEastAsia" w:eastAsiaTheme="minorEastAsia" w:hAnsiTheme="minorEastAsia" w:cs="仿宋_GB2312" w:hint="eastAsia"/>
          <w:sz w:val="32"/>
          <w:szCs w:val="32"/>
        </w:rPr>
        <w:lastRenderedPageBreak/>
        <w:t>与2023年度相比，财政拨款收入总计、支出总计各增加1448.79万元，增长25.96%。主要变动原因是2024年度争取到一般债券项目资金3300万元。</w:t>
      </w:r>
    </w:p>
    <w:p w14:paraId="3B1E0D1A" w14:textId="77777777" w:rsidR="00B85073" w:rsidRDefault="00000000">
      <w:pPr>
        <w:spacing w:line="600" w:lineRule="exact"/>
        <w:ind w:firstLineChars="200"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noProof/>
          <w:sz w:val="32"/>
          <w:szCs w:val="32"/>
        </w:rPr>
        <w:drawing>
          <wp:anchor distT="0" distB="0" distL="114300" distR="114300" simplePos="0" relativeHeight="251662336" behindDoc="0" locked="0" layoutInCell="1" allowOverlap="1" wp14:anchorId="150E0DFB" wp14:editId="573B1FFD">
            <wp:simplePos x="0" y="0"/>
            <wp:positionH relativeFrom="column">
              <wp:posOffset>8890</wp:posOffset>
            </wp:positionH>
            <wp:positionV relativeFrom="paragraph">
              <wp:posOffset>479425</wp:posOffset>
            </wp:positionV>
            <wp:extent cx="5274310" cy="3076575"/>
            <wp:effectExtent l="0" t="0" r="2540" b="9525"/>
            <wp:wrapTopAndBottom/>
            <wp:docPr id="1515227586"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asciiTheme="minorEastAsia" w:eastAsiaTheme="minorEastAsia" w:hAnsiTheme="minorEastAsia" w:cs="仿宋_GB2312" w:hint="eastAsia"/>
          <w:sz w:val="32"/>
          <w:szCs w:val="32"/>
        </w:rPr>
        <w:t>（图4：财政拨款收、支决算总计变动情况图）</w:t>
      </w:r>
    </w:p>
    <w:p w14:paraId="0AE977FD" w14:textId="77777777" w:rsidR="00B85073" w:rsidRDefault="00000000">
      <w:pPr>
        <w:spacing w:line="600" w:lineRule="exact"/>
        <w:ind w:firstLineChars="200" w:firstLine="640"/>
        <w:outlineLvl w:val="1"/>
        <w:rPr>
          <w:rStyle w:val="20"/>
          <w:rFonts w:asciiTheme="minorEastAsia" w:eastAsiaTheme="minorEastAsia" w:hAnsiTheme="minorEastAsia" w:hint="eastAsia"/>
          <w:b w:val="0"/>
        </w:rPr>
      </w:pPr>
      <w:bookmarkStart w:id="30" w:name="_Toc210112695"/>
      <w:bookmarkStart w:id="31" w:name="_Toc15396607"/>
      <w:bookmarkStart w:id="32" w:name="_Toc15377209"/>
      <w:r>
        <w:rPr>
          <w:rFonts w:asciiTheme="minorEastAsia" w:eastAsiaTheme="minorEastAsia" w:hAnsiTheme="minorEastAsia" w:hint="eastAsia"/>
          <w:sz w:val="32"/>
          <w:szCs w:val="32"/>
        </w:rPr>
        <w:t>五、</w:t>
      </w:r>
      <w:r>
        <w:rPr>
          <w:rFonts w:asciiTheme="minorEastAsia" w:eastAsiaTheme="minorEastAsia" w:hAnsiTheme="minorEastAsia" w:hint="eastAsia"/>
          <w:b/>
          <w:sz w:val="32"/>
          <w:szCs w:val="32"/>
        </w:rPr>
        <w:t>一</w:t>
      </w:r>
      <w:r>
        <w:rPr>
          <w:rStyle w:val="20"/>
          <w:rFonts w:asciiTheme="minorEastAsia" w:eastAsiaTheme="minorEastAsia" w:hAnsiTheme="minorEastAsia" w:hint="eastAsia"/>
          <w:b w:val="0"/>
        </w:rPr>
        <w:t>般公共预算财政拨款支出决算情况说明</w:t>
      </w:r>
      <w:bookmarkEnd w:id="30"/>
      <w:bookmarkEnd w:id="31"/>
      <w:bookmarkEnd w:id="32"/>
    </w:p>
    <w:p w14:paraId="39ACDAB6" w14:textId="77777777" w:rsidR="00B85073" w:rsidRDefault="00000000">
      <w:pPr>
        <w:spacing w:line="600" w:lineRule="exact"/>
        <w:ind w:firstLineChars="200" w:firstLine="643"/>
        <w:outlineLvl w:val="2"/>
        <w:rPr>
          <w:rFonts w:asciiTheme="minorEastAsia" w:eastAsiaTheme="minorEastAsia" w:hAnsiTheme="minorEastAsia" w:cs="楷体_GB2312" w:hint="eastAsia"/>
          <w:b/>
          <w:sz w:val="32"/>
          <w:szCs w:val="32"/>
        </w:rPr>
      </w:pPr>
      <w:bookmarkStart w:id="33" w:name="_Toc15377210"/>
      <w:bookmarkStart w:id="34" w:name="_Toc210112696"/>
      <w:r>
        <w:rPr>
          <w:rFonts w:asciiTheme="minorEastAsia" w:eastAsiaTheme="minorEastAsia" w:hAnsiTheme="minorEastAsia" w:cs="楷体_GB2312" w:hint="eastAsia"/>
          <w:b/>
          <w:sz w:val="32"/>
          <w:szCs w:val="32"/>
        </w:rPr>
        <w:t>（一）一般公共预算财政拨款支出决算总体情况</w:t>
      </w:r>
      <w:bookmarkEnd w:id="33"/>
      <w:bookmarkEnd w:id="34"/>
    </w:p>
    <w:p w14:paraId="374F3BA1" w14:textId="77777777" w:rsidR="00B85073" w:rsidRDefault="00000000">
      <w:pPr>
        <w:spacing w:line="600" w:lineRule="exact"/>
        <w:ind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sz w:val="32"/>
          <w:szCs w:val="32"/>
        </w:rPr>
        <w:t>2024年度一般公共预算财政拨款支出4304.44万元，占本年支出合计的44.03%。与2023年度相比，一般公共预算财政拨款支出增加1513.50万元，增长54.23%。主要变动原因是2024年我院争取到一般债券3300万元。</w:t>
      </w:r>
    </w:p>
    <w:p w14:paraId="75AF5C36" w14:textId="77777777" w:rsidR="00B85073" w:rsidRDefault="00000000">
      <w:pPr>
        <w:spacing w:line="600" w:lineRule="exact"/>
        <w:ind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sz w:val="32"/>
          <w:szCs w:val="32"/>
        </w:rPr>
        <w:t>（图5：一般公共预算财政拨款支出决算变动情况图）</w:t>
      </w:r>
    </w:p>
    <w:p w14:paraId="637183D1" w14:textId="77777777" w:rsidR="00B85073" w:rsidRDefault="00000000">
      <w:pPr>
        <w:pStyle w:val="21"/>
        <w:ind w:leftChars="95" w:left="199" w:firstLineChars="131" w:firstLine="419"/>
        <w:rPr>
          <w:rFonts w:asciiTheme="minorEastAsia" w:eastAsiaTheme="minorEastAsia" w:hAnsiTheme="minorEastAsia" w:cs="楷体_GB2312" w:hint="eastAsia"/>
          <w:b/>
          <w:sz w:val="32"/>
        </w:rPr>
      </w:pPr>
      <w:r>
        <w:rPr>
          <w:rFonts w:asciiTheme="minorEastAsia" w:eastAsiaTheme="minorEastAsia" w:hAnsiTheme="minorEastAsia" w:cs="仿宋_GB2312" w:hint="eastAsia"/>
          <w:noProof/>
          <w:sz w:val="32"/>
        </w:rPr>
        <w:lastRenderedPageBreak/>
        <w:drawing>
          <wp:anchor distT="0" distB="0" distL="114300" distR="114300" simplePos="0" relativeHeight="251663360" behindDoc="0" locked="0" layoutInCell="1" allowOverlap="1" wp14:anchorId="12470388" wp14:editId="495F2AFC">
            <wp:simplePos x="0" y="0"/>
            <wp:positionH relativeFrom="column">
              <wp:posOffset>1270</wp:posOffset>
            </wp:positionH>
            <wp:positionV relativeFrom="paragraph">
              <wp:posOffset>101600</wp:posOffset>
            </wp:positionV>
            <wp:extent cx="5274310" cy="3076575"/>
            <wp:effectExtent l="0" t="0" r="2540" b="9525"/>
            <wp:wrapTopAndBottom/>
            <wp:docPr id="108718228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bookmarkStart w:id="35" w:name="_Toc15377211"/>
      <w:r>
        <w:rPr>
          <w:rFonts w:asciiTheme="minorEastAsia" w:eastAsiaTheme="minorEastAsia" w:hAnsiTheme="minorEastAsia" w:cs="楷体_GB2312" w:hint="eastAsia"/>
          <w:b/>
          <w:sz w:val="32"/>
        </w:rPr>
        <w:t>（二）一般公共预算财政拨款支出决算结构情况</w:t>
      </w:r>
      <w:bookmarkEnd w:id="35"/>
    </w:p>
    <w:p w14:paraId="14DAE10A" w14:textId="77777777" w:rsidR="00B85073" w:rsidRDefault="00000000">
      <w:pPr>
        <w:spacing w:line="600" w:lineRule="exact"/>
        <w:ind w:firstLine="640"/>
        <w:rPr>
          <w:rFonts w:asciiTheme="minorEastAsia" w:eastAsiaTheme="minorEastAsia" w:hAnsiTheme="minorEastAsia" w:cs="仿宋_GB2312" w:hint="eastAsia"/>
          <w:b/>
          <w:bCs/>
          <w:sz w:val="32"/>
          <w:szCs w:val="32"/>
        </w:rPr>
      </w:pPr>
      <w:r>
        <w:rPr>
          <w:rFonts w:asciiTheme="minorEastAsia" w:eastAsiaTheme="minorEastAsia" w:hAnsiTheme="minorEastAsia" w:cs="仿宋_GB2312" w:hint="eastAsia"/>
          <w:sz w:val="32"/>
          <w:szCs w:val="32"/>
        </w:rPr>
        <w:t>2024年度一般公共预算财政拨款支出4304.44万元，主要用于以下方面：社会保障和就业支出91.55万元，占2.13%；卫生健康支出4102.42万元，占95.31%；住房保障支出76.68万元，占1.78%；其他支出33.79万元，占0.78%。</w:t>
      </w:r>
    </w:p>
    <w:p w14:paraId="2BF7F6A1" w14:textId="77777777" w:rsidR="00B85073" w:rsidRDefault="00000000">
      <w:pPr>
        <w:spacing w:line="600" w:lineRule="exact"/>
        <w:ind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noProof/>
          <w:sz w:val="32"/>
          <w:szCs w:val="32"/>
        </w:rPr>
        <w:drawing>
          <wp:anchor distT="0" distB="0" distL="114300" distR="114300" simplePos="0" relativeHeight="251664384" behindDoc="0" locked="0" layoutInCell="1" allowOverlap="1" wp14:anchorId="6300D053" wp14:editId="3144E4A2">
            <wp:simplePos x="0" y="0"/>
            <wp:positionH relativeFrom="column">
              <wp:posOffset>40005</wp:posOffset>
            </wp:positionH>
            <wp:positionV relativeFrom="paragraph">
              <wp:posOffset>457835</wp:posOffset>
            </wp:positionV>
            <wp:extent cx="5274310" cy="3076575"/>
            <wp:effectExtent l="0" t="0" r="2540" b="9525"/>
            <wp:wrapTopAndBottom/>
            <wp:docPr id="2133348135"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asciiTheme="minorEastAsia" w:eastAsiaTheme="minorEastAsia" w:hAnsiTheme="minorEastAsia" w:cs="仿宋_GB2312" w:hint="eastAsia"/>
          <w:sz w:val="32"/>
          <w:szCs w:val="32"/>
        </w:rPr>
        <w:t>（图6：一般公共预算财政拨款支出决算结构图）</w:t>
      </w:r>
    </w:p>
    <w:p w14:paraId="62BD4897" w14:textId="77777777" w:rsidR="00B85073" w:rsidRDefault="00000000">
      <w:pPr>
        <w:spacing w:line="600" w:lineRule="exact"/>
        <w:ind w:firstLineChars="200" w:firstLine="643"/>
        <w:outlineLvl w:val="2"/>
        <w:rPr>
          <w:rFonts w:asciiTheme="minorEastAsia" w:eastAsiaTheme="minorEastAsia" w:hAnsiTheme="minorEastAsia" w:cs="楷体_GB2312" w:hint="eastAsia"/>
          <w:b/>
          <w:sz w:val="32"/>
          <w:szCs w:val="32"/>
        </w:rPr>
      </w:pPr>
      <w:bookmarkStart w:id="36" w:name="_Toc15377212"/>
      <w:bookmarkStart w:id="37" w:name="_Toc210112697"/>
      <w:r>
        <w:rPr>
          <w:rFonts w:asciiTheme="minorEastAsia" w:eastAsiaTheme="minorEastAsia" w:hAnsiTheme="minorEastAsia" w:cs="楷体_GB2312" w:hint="eastAsia"/>
          <w:b/>
          <w:sz w:val="32"/>
          <w:szCs w:val="32"/>
        </w:rPr>
        <w:lastRenderedPageBreak/>
        <w:t>（三）一般公共预算财政拨款支出决算具体情况</w:t>
      </w:r>
      <w:bookmarkEnd w:id="36"/>
      <w:bookmarkEnd w:id="37"/>
    </w:p>
    <w:p w14:paraId="1296BB59" w14:textId="77777777" w:rsidR="00B85073" w:rsidRDefault="00000000">
      <w:pPr>
        <w:spacing w:line="600" w:lineRule="exact"/>
        <w:ind w:firstLine="640"/>
        <w:rPr>
          <w:rFonts w:asciiTheme="minorEastAsia" w:eastAsiaTheme="minorEastAsia" w:hAnsiTheme="minorEastAsia" w:cs="仿宋_GB2312" w:hint="eastAsia"/>
          <w:b/>
          <w:bCs/>
          <w:sz w:val="32"/>
          <w:szCs w:val="32"/>
        </w:rPr>
      </w:pPr>
      <w:bookmarkStart w:id="38" w:name="_Toc15378460"/>
      <w:bookmarkStart w:id="39" w:name="_Toc15377444"/>
      <w:bookmarkStart w:id="40" w:name="_Toc15377213"/>
      <w:r>
        <w:rPr>
          <w:rFonts w:asciiTheme="minorEastAsia" w:eastAsiaTheme="minorEastAsia" w:hAnsiTheme="minorEastAsia" w:cs="仿宋_GB2312" w:hint="eastAsia"/>
          <w:sz w:val="32"/>
          <w:szCs w:val="32"/>
        </w:rPr>
        <w:t>2024年度一般公共预算财政拨款支出决算数为4304.44万元，完成预算100%。</w:t>
      </w:r>
      <w:bookmarkEnd w:id="38"/>
      <w:bookmarkEnd w:id="39"/>
      <w:bookmarkEnd w:id="40"/>
    </w:p>
    <w:p w14:paraId="3B9E0DCA" w14:textId="77777777" w:rsidR="00B85073" w:rsidRDefault="00000000">
      <w:pPr>
        <w:tabs>
          <w:tab w:val="right" w:pos="8306"/>
        </w:tabs>
        <w:spacing w:line="600" w:lineRule="exact"/>
        <w:ind w:firstLine="640"/>
        <w:outlineLvl w:val="1"/>
        <w:rPr>
          <w:rStyle w:val="20"/>
          <w:rFonts w:asciiTheme="minorEastAsia" w:eastAsiaTheme="minorEastAsia" w:hAnsiTheme="minorEastAsia" w:hint="eastAsia"/>
        </w:rPr>
      </w:pPr>
      <w:bookmarkStart w:id="41" w:name="_Toc15377214"/>
      <w:bookmarkStart w:id="42" w:name="_Toc15396608"/>
      <w:bookmarkStart w:id="43" w:name="_Toc210112698"/>
      <w:r>
        <w:rPr>
          <w:rFonts w:asciiTheme="minorEastAsia" w:eastAsiaTheme="minorEastAsia" w:hAnsiTheme="minorEastAsia" w:hint="eastAsia"/>
          <w:sz w:val="32"/>
          <w:szCs w:val="32"/>
        </w:rPr>
        <w:t>六</w:t>
      </w:r>
      <w:r>
        <w:rPr>
          <w:rFonts w:asciiTheme="minorEastAsia" w:eastAsiaTheme="minorEastAsia" w:hAnsiTheme="minorEastAsia" w:hint="eastAsia"/>
          <w:b/>
          <w:sz w:val="32"/>
          <w:szCs w:val="32"/>
        </w:rPr>
        <w:t>、一</w:t>
      </w:r>
      <w:r>
        <w:rPr>
          <w:rStyle w:val="20"/>
          <w:rFonts w:asciiTheme="minorEastAsia" w:eastAsiaTheme="minorEastAsia" w:hAnsiTheme="minorEastAsia" w:hint="eastAsia"/>
          <w:b w:val="0"/>
        </w:rPr>
        <w:t>般公共预算财政拨款基本支出决算情况说明</w:t>
      </w:r>
      <w:bookmarkEnd w:id="41"/>
      <w:bookmarkEnd w:id="42"/>
      <w:bookmarkEnd w:id="43"/>
    </w:p>
    <w:p w14:paraId="3983CAA9" w14:textId="77777777" w:rsidR="00B85073" w:rsidRDefault="00000000">
      <w:pPr>
        <w:spacing w:line="600" w:lineRule="exact"/>
        <w:ind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sz w:val="32"/>
          <w:szCs w:val="32"/>
        </w:rPr>
        <w:t>2024年度一般公共预算财政拨款基本支出1451.94万元，其中：</w:t>
      </w:r>
    </w:p>
    <w:p w14:paraId="10028BCA" w14:textId="77777777" w:rsidR="00B85073" w:rsidRDefault="00000000">
      <w:pPr>
        <w:spacing w:line="600" w:lineRule="exact"/>
        <w:ind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sz w:val="32"/>
          <w:szCs w:val="32"/>
        </w:rPr>
        <w:t>人员经费1352.37万元，主要包括：基本工资、津贴补贴、奖金、绩效工资、机关事业单位基本养老保险缴费、职业年金缴费、其他社会保障缴费、其他工资福利支出、离休费、退休费、生活补助、医疗费补助、奖励金、住房公积金、其他对个人和家庭的补助支出等。</w:t>
      </w:r>
      <w:r>
        <w:rPr>
          <w:rFonts w:asciiTheme="minorEastAsia" w:eastAsiaTheme="minorEastAsia" w:hAnsiTheme="minorEastAsia" w:cs="仿宋_GB2312" w:hint="eastAsia"/>
          <w:sz w:val="32"/>
          <w:szCs w:val="32"/>
        </w:rPr>
        <w:br/>
        <w:t xml:space="preserve">　　公用经费99.57万元，主要包括：办公费、印刷费、咨询费、手续费、水费、电费、邮电费、取暖费、物业管理费、差旅费、维修（护）费、会议费、培训费、公务接待费、劳务费、委托业务费、工会经费、福利费、公务用车运行维护费、其他交通费、其他商品和服务支出、办公设备购置、专用设备购置、信息网络及软件购置更新、其他资本性支出等。</w:t>
      </w:r>
    </w:p>
    <w:p w14:paraId="4CB9886B" w14:textId="77777777" w:rsidR="00B85073" w:rsidRDefault="00000000">
      <w:pPr>
        <w:spacing w:line="600" w:lineRule="exact"/>
        <w:ind w:firstLine="640"/>
        <w:outlineLvl w:val="1"/>
        <w:rPr>
          <w:rStyle w:val="20"/>
          <w:rFonts w:asciiTheme="minorEastAsia" w:eastAsiaTheme="minorEastAsia" w:hAnsiTheme="minorEastAsia" w:hint="eastAsia"/>
          <w:b w:val="0"/>
        </w:rPr>
      </w:pPr>
      <w:bookmarkStart w:id="44" w:name="_Toc15377215"/>
      <w:bookmarkStart w:id="45" w:name="_Toc210112699"/>
      <w:bookmarkStart w:id="46" w:name="_Toc15396609"/>
      <w:r>
        <w:rPr>
          <w:rFonts w:asciiTheme="minorEastAsia" w:eastAsiaTheme="minorEastAsia" w:hAnsiTheme="minorEastAsia" w:hint="eastAsia"/>
          <w:sz w:val="32"/>
          <w:szCs w:val="32"/>
        </w:rPr>
        <w:t>七、</w:t>
      </w:r>
      <w:r>
        <w:rPr>
          <w:rStyle w:val="20"/>
          <w:rFonts w:asciiTheme="minorEastAsia" w:eastAsiaTheme="minorEastAsia" w:hAnsiTheme="minorEastAsia" w:hint="eastAsia"/>
          <w:b w:val="0"/>
        </w:rPr>
        <w:t>财政拨款</w:t>
      </w:r>
      <w:r>
        <w:rPr>
          <w:rStyle w:val="20"/>
          <w:rFonts w:asciiTheme="minorEastAsia" w:eastAsiaTheme="minorEastAsia" w:hAnsiTheme="minorEastAsia" w:hint="eastAsia"/>
        </w:rPr>
        <w:t>“</w:t>
      </w:r>
      <w:r>
        <w:rPr>
          <w:rStyle w:val="20"/>
          <w:rFonts w:asciiTheme="minorEastAsia" w:eastAsiaTheme="minorEastAsia" w:hAnsiTheme="minorEastAsia" w:hint="eastAsia"/>
          <w:b w:val="0"/>
        </w:rPr>
        <w:t>三公”经费支出决算情况说明</w:t>
      </w:r>
      <w:bookmarkEnd w:id="44"/>
      <w:bookmarkEnd w:id="45"/>
      <w:bookmarkEnd w:id="46"/>
    </w:p>
    <w:p w14:paraId="04B34804" w14:textId="77777777" w:rsidR="00B85073" w:rsidRDefault="00000000">
      <w:pPr>
        <w:spacing w:line="600" w:lineRule="exact"/>
        <w:ind w:firstLineChars="200" w:firstLine="643"/>
        <w:outlineLvl w:val="2"/>
        <w:rPr>
          <w:rFonts w:asciiTheme="minorEastAsia" w:eastAsiaTheme="minorEastAsia" w:hAnsiTheme="minorEastAsia" w:cs="楷体_GB2312" w:hint="eastAsia"/>
          <w:b/>
          <w:sz w:val="32"/>
          <w:szCs w:val="32"/>
        </w:rPr>
      </w:pPr>
      <w:bookmarkStart w:id="47" w:name="_Toc15377216"/>
      <w:bookmarkStart w:id="48" w:name="_Toc210112700"/>
      <w:r>
        <w:rPr>
          <w:rFonts w:asciiTheme="minorEastAsia" w:eastAsiaTheme="minorEastAsia" w:hAnsiTheme="minorEastAsia" w:cs="楷体_GB2312" w:hint="eastAsia"/>
          <w:b/>
          <w:sz w:val="32"/>
          <w:szCs w:val="32"/>
        </w:rPr>
        <w:t>（一）“三公”经费财政拨款支出决算总体情况说明</w:t>
      </w:r>
      <w:bookmarkEnd w:id="47"/>
      <w:bookmarkEnd w:id="48"/>
    </w:p>
    <w:p w14:paraId="6CDE7E71" w14:textId="77777777" w:rsidR="00B85073" w:rsidRDefault="00000000">
      <w:pPr>
        <w:spacing w:line="600" w:lineRule="exact"/>
        <w:ind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sz w:val="32"/>
          <w:szCs w:val="32"/>
        </w:rPr>
        <w:t>2024年度“三公”经费财政拨款支出决算为13.71万元，完成预算112.65%，较上年度增加1.59万元，增长13.12%。</w:t>
      </w:r>
    </w:p>
    <w:p w14:paraId="2EA5AFB6" w14:textId="77777777" w:rsidR="00B85073" w:rsidRDefault="00000000">
      <w:pPr>
        <w:spacing w:line="600" w:lineRule="exact"/>
        <w:ind w:firstLineChars="200" w:firstLine="643"/>
        <w:outlineLvl w:val="2"/>
        <w:rPr>
          <w:rFonts w:asciiTheme="minorEastAsia" w:eastAsiaTheme="minorEastAsia" w:hAnsiTheme="minorEastAsia" w:cs="楷体_GB2312" w:hint="eastAsia"/>
          <w:b/>
          <w:sz w:val="32"/>
          <w:szCs w:val="32"/>
        </w:rPr>
      </w:pPr>
      <w:bookmarkStart w:id="49" w:name="_Toc210112701"/>
      <w:bookmarkStart w:id="50" w:name="_Toc15377217"/>
      <w:r>
        <w:rPr>
          <w:rFonts w:asciiTheme="minorEastAsia" w:eastAsiaTheme="minorEastAsia" w:hAnsiTheme="minorEastAsia" w:cs="楷体_GB2312" w:hint="eastAsia"/>
          <w:b/>
          <w:sz w:val="32"/>
          <w:szCs w:val="32"/>
        </w:rPr>
        <w:t>（二）“三公”经费财政拨款支出决算具体情况说明</w:t>
      </w:r>
      <w:bookmarkEnd w:id="49"/>
      <w:bookmarkEnd w:id="50"/>
    </w:p>
    <w:p w14:paraId="255299EF" w14:textId="77777777" w:rsidR="00B85073" w:rsidRDefault="00000000">
      <w:pPr>
        <w:spacing w:line="600" w:lineRule="exact"/>
        <w:ind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sz w:val="32"/>
          <w:szCs w:val="32"/>
        </w:rPr>
        <w:t>2024年度“三公”经费财政拨款支出决算中，因公出国</w:t>
      </w:r>
      <w:r>
        <w:rPr>
          <w:rFonts w:asciiTheme="minorEastAsia" w:eastAsiaTheme="minorEastAsia" w:hAnsiTheme="minorEastAsia" w:cs="仿宋_GB2312" w:hint="eastAsia"/>
          <w:sz w:val="32"/>
          <w:szCs w:val="32"/>
        </w:rPr>
        <w:lastRenderedPageBreak/>
        <w:t>（境）费支出决算0万元，占0%；公务用车购置及运行维护费支出决算13.24万元，占96.57%；公务接待费支出决算0.47万元，占3.43%。具体情况如下：</w:t>
      </w:r>
    </w:p>
    <w:p w14:paraId="6CE81DDE" w14:textId="77777777" w:rsidR="00B85073" w:rsidRDefault="00000000">
      <w:pPr>
        <w:spacing w:line="600" w:lineRule="exact"/>
        <w:ind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b/>
          <w:bCs/>
          <w:noProof/>
          <w:sz w:val="32"/>
          <w:szCs w:val="32"/>
        </w:rPr>
        <w:drawing>
          <wp:anchor distT="0" distB="0" distL="114300" distR="114300" simplePos="0" relativeHeight="251665408" behindDoc="0" locked="0" layoutInCell="1" allowOverlap="1" wp14:anchorId="3B03E495" wp14:editId="1F64F7C8">
            <wp:simplePos x="0" y="0"/>
            <wp:positionH relativeFrom="column">
              <wp:posOffset>73025</wp:posOffset>
            </wp:positionH>
            <wp:positionV relativeFrom="paragraph">
              <wp:posOffset>494665</wp:posOffset>
            </wp:positionV>
            <wp:extent cx="5274310" cy="3076575"/>
            <wp:effectExtent l="0" t="0" r="2540" b="9525"/>
            <wp:wrapTopAndBottom/>
            <wp:docPr id="1466903835"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asciiTheme="minorEastAsia" w:eastAsiaTheme="minorEastAsia" w:hAnsiTheme="minorEastAsia" w:cs="仿宋_GB2312" w:hint="eastAsia"/>
          <w:sz w:val="32"/>
          <w:szCs w:val="32"/>
        </w:rPr>
        <w:t>（图7：“三公”经费财政拨款支出结构图）</w:t>
      </w:r>
    </w:p>
    <w:p w14:paraId="1FCEC8C2" w14:textId="77777777" w:rsidR="00B85073" w:rsidRDefault="00000000">
      <w:pPr>
        <w:spacing w:line="600" w:lineRule="exact"/>
        <w:ind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b/>
          <w:bCs/>
          <w:sz w:val="32"/>
          <w:szCs w:val="32"/>
        </w:rPr>
        <w:t>1.因公出国（境）经费支出0万元，完成预算0%。</w:t>
      </w:r>
    </w:p>
    <w:p w14:paraId="5AF87EBC" w14:textId="77777777" w:rsidR="00B85073" w:rsidRDefault="00000000">
      <w:pPr>
        <w:spacing w:line="600" w:lineRule="exact"/>
        <w:ind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b/>
          <w:bCs/>
          <w:sz w:val="32"/>
          <w:szCs w:val="32"/>
        </w:rPr>
        <w:t>2.公务用车购置及运行维护费支出</w:t>
      </w:r>
      <w:r>
        <w:rPr>
          <w:rFonts w:asciiTheme="minorEastAsia" w:eastAsiaTheme="minorEastAsia" w:hAnsiTheme="minorEastAsia" w:cs="仿宋_GB2312"/>
          <w:b/>
          <w:bCs/>
          <w:sz w:val="32"/>
          <w:szCs w:val="32"/>
        </w:rPr>
        <w:t>13.24</w:t>
      </w:r>
      <w:r>
        <w:rPr>
          <w:rFonts w:asciiTheme="minorEastAsia" w:eastAsiaTheme="minorEastAsia" w:hAnsiTheme="minorEastAsia" w:cs="仿宋_GB2312" w:hint="eastAsia"/>
          <w:b/>
          <w:bCs/>
          <w:sz w:val="32"/>
          <w:szCs w:val="32"/>
        </w:rPr>
        <w:t>万元，完成预算113.16%。</w:t>
      </w:r>
      <w:r>
        <w:rPr>
          <w:rFonts w:asciiTheme="minorEastAsia" w:eastAsiaTheme="minorEastAsia" w:hAnsiTheme="minorEastAsia" w:cs="仿宋_GB2312" w:hint="eastAsia"/>
          <w:sz w:val="32"/>
          <w:szCs w:val="32"/>
        </w:rPr>
        <w:t>公务用车购置及运行维护费支出决算比2023年度增加1.54万元，增长13.16%。主要原因是车辆老化，维修费用增加。</w:t>
      </w:r>
    </w:p>
    <w:p w14:paraId="0A22DE59" w14:textId="77777777" w:rsidR="00B85073" w:rsidRDefault="00000000">
      <w:pPr>
        <w:spacing w:line="600" w:lineRule="exact"/>
        <w:ind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sz w:val="32"/>
          <w:szCs w:val="32"/>
        </w:rPr>
        <w:t xml:space="preserve">其中： </w:t>
      </w:r>
      <w:r>
        <w:rPr>
          <w:rFonts w:eastAsia="仿宋_GB2312" w:cs="仿宋_GB2312" w:hint="eastAsia"/>
          <w:sz w:val="32"/>
          <w:szCs w:val="32"/>
        </w:rPr>
        <w:t>公务用车购置支</w:t>
      </w:r>
      <w:r>
        <w:rPr>
          <w:rFonts w:ascii="仿宋_GB2312" w:eastAsia="仿宋_GB2312" w:hAnsi="仿宋_GB2312" w:cs="仿宋_GB2312" w:hint="eastAsia"/>
          <w:sz w:val="32"/>
          <w:szCs w:val="32"/>
        </w:rPr>
        <w:t>出0</w:t>
      </w:r>
      <w:r>
        <w:rPr>
          <w:rFonts w:eastAsia="仿宋_GB2312" w:cs="仿宋_GB2312" w:hint="eastAsia"/>
          <w:sz w:val="32"/>
          <w:szCs w:val="32"/>
        </w:rPr>
        <w:t>万元。全年按规定更新购置公务用车</w:t>
      </w:r>
      <w:r>
        <w:rPr>
          <w:rFonts w:eastAsia="仿宋_GB2312" w:cs="仿宋_GB2312" w:hint="eastAsia"/>
          <w:sz w:val="32"/>
          <w:szCs w:val="32"/>
        </w:rPr>
        <w:t>0</w:t>
      </w:r>
      <w:r>
        <w:rPr>
          <w:rFonts w:eastAsia="仿宋_GB2312" w:cs="仿宋_GB2312" w:hint="eastAsia"/>
          <w:sz w:val="32"/>
          <w:szCs w:val="32"/>
        </w:rPr>
        <w:t>辆。截至</w:t>
      </w:r>
      <w:r>
        <w:rPr>
          <w:rFonts w:eastAsia="仿宋_GB2312" w:cs="仿宋_GB2312" w:hint="eastAsia"/>
          <w:sz w:val="32"/>
          <w:szCs w:val="32"/>
        </w:rPr>
        <w:t>2024</w:t>
      </w:r>
      <w:r>
        <w:rPr>
          <w:rFonts w:eastAsia="仿宋_GB2312" w:cs="仿宋_GB2312" w:hint="eastAsia"/>
          <w:sz w:val="32"/>
          <w:szCs w:val="32"/>
        </w:rPr>
        <w:t>年</w:t>
      </w:r>
      <w:r>
        <w:rPr>
          <w:rFonts w:eastAsia="仿宋_GB2312" w:cs="仿宋_GB2312" w:hint="eastAsia"/>
          <w:sz w:val="32"/>
          <w:szCs w:val="32"/>
        </w:rPr>
        <w:t>12</w:t>
      </w:r>
      <w:r>
        <w:rPr>
          <w:rFonts w:eastAsia="仿宋_GB2312" w:cs="仿宋_GB2312" w:hint="eastAsia"/>
          <w:sz w:val="32"/>
          <w:szCs w:val="32"/>
        </w:rPr>
        <w:t>月</w:t>
      </w:r>
      <w:r>
        <w:rPr>
          <w:rFonts w:eastAsia="仿宋_GB2312" w:cs="仿宋_GB2312" w:hint="eastAsia"/>
          <w:sz w:val="32"/>
          <w:szCs w:val="32"/>
        </w:rPr>
        <w:t>31</w:t>
      </w:r>
      <w:r>
        <w:rPr>
          <w:rFonts w:eastAsia="仿宋_GB2312" w:cs="仿宋_GB2312" w:hint="eastAsia"/>
          <w:sz w:val="32"/>
          <w:szCs w:val="32"/>
        </w:rPr>
        <w:t>日，单位共有公务用车</w:t>
      </w:r>
      <w:r>
        <w:rPr>
          <w:rFonts w:eastAsia="仿宋_GB2312" w:cs="仿宋_GB2312" w:hint="eastAsia"/>
          <w:sz w:val="32"/>
          <w:szCs w:val="32"/>
        </w:rPr>
        <w:t>3</w:t>
      </w:r>
      <w:r>
        <w:rPr>
          <w:rFonts w:eastAsia="仿宋_GB2312" w:cs="仿宋_GB2312" w:hint="eastAsia"/>
          <w:sz w:val="32"/>
          <w:szCs w:val="32"/>
        </w:rPr>
        <w:t>辆，为其他用车。</w:t>
      </w:r>
    </w:p>
    <w:p w14:paraId="76B8ACF5" w14:textId="77777777" w:rsidR="00B85073" w:rsidRDefault="00000000">
      <w:pPr>
        <w:spacing w:line="600" w:lineRule="exact"/>
        <w:ind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sz w:val="32"/>
          <w:szCs w:val="32"/>
        </w:rPr>
        <w:t>公务用车运行维护费支出13.24万元。主要用于救护车和商务车日常运行所需的公务用车燃料费、维修费、过路过</w:t>
      </w:r>
      <w:r>
        <w:rPr>
          <w:rFonts w:asciiTheme="minorEastAsia" w:eastAsiaTheme="minorEastAsia" w:hAnsiTheme="minorEastAsia" w:cs="仿宋_GB2312" w:hint="eastAsia"/>
          <w:sz w:val="32"/>
          <w:szCs w:val="32"/>
        </w:rPr>
        <w:lastRenderedPageBreak/>
        <w:t>桥费、保险费等支出。</w:t>
      </w:r>
    </w:p>
    <w:p w14:paraId="25D02ECA" w14:textId="77777777" w:rsidR="00B85073" w:rsidRDefault="00000000">
      <w:pPr>
        <w:spacing w:line="600" w:lineRule="exact"/>
        <w:ind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b/>
          <w:bCs/>
          <w:sz w:val="32"/>
          <w:szCs w:val="32"/>
        </w:rPr>
        <w:t>3.公务接待费支出0.47万元，完成预算100%。</w:t>
      </w:r>
      <w:r>
        <w:rPr>
          <w:rFonts w:asciiTheme="minorEastAsia" w:eastAsiaTheme="minorEastAsia" w:hAnsiTheme="minorEastAsia" w:cs="仿宋_GB2312" w:hint="eastAsia"/>
          <w:sz w:val="32"/>
          <w:szCs w:val="32"/>
        </w:rPr>
        <w:t>公务接待费支出决算比2023年度增加0.05万元，增长11.90%。主要原因是2024年接待人次较上年度增长。其中：</w:t>
      </w:r>
    </w:p>
    <w:p w14:paraId="3E9FB18E" w14:textId="77777777" w:rsidR="00B85073" w:rsidRDefault="00000000">
      <w:pPr>
        <w:spacing w:line="600" w:lineRule="exact"/>
        <w:ind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sz w:val="32"/>
          <w:szCs w:val="32"/>
        </w:rPr>
        <w:t>国内公务接待支出0.47万元，主要用于开展业务活动开支的交通费、住宿费、用餐费等。国内公务接待4批次，10人次（不包括陪同人员），共计支出0.47万元，具体内容包括：</w:t>
      </w:r>
      <w:bookmarkStart w:id="51" w:name="_Toc15377218"/>
      <w:bookmarkStart w:id="52" w:name="_Toc15396610"/>
      <w:r>
        <w:rPr>
          <w:rFonts w:asciiTheme="minorEastAsia" w:eastAsiaTheme="minorEastAsia" w:hAnsiTheme="minorEastAsia" w:cs="仿宋_GB2312" w:hint="eastAsia"/>
          <w:sz w:val="32"/>
          <w:szCs w:val="32"/>
        </w:rPr>
        <w:t>接待2023年巴中市</w:t>
      </w:r>
      <w:proofErr w:type="gramStart"/>
      <w:r>
        <w:rPr>
          <w:rFonts w:asciiTheme="minorEastAsia" w:eastAsiaTheme="minorEastAsia" w:hAnsiTheme="minorEastAsia" w:cs="仿宋_GB2312" w:hint="eastAsia"/>
          <w:sz w:val="32"/>
          <w:szCs w:val="32"/>
        </w:rPr>
        <w:t>医</w:t>
      </w:r>
      <w:proofErr w:type="gramEnd"/>
      <w:r>
        <w:rPr>
          <w:rFonts w:asciiTheme="minorEastAsia" w:eastAsiaTheme="minorEastAsia" w:hAnsiTheme="minorEastAsia" w:cs="仿宋_GB2312" w:hint="eastAsia"/>
          <w:sz w:val="32"/>
          <w:szCs w:val="32"/>
        </w:rPr>
        <w:t>保专项检查抽查工作餐费0.13万元，接待更年期专科建设系列巡讲巴中站餐费0.07万元，四川大学华西第二医院</w:t>
      </w:r>
      <w:proofErr w:type="gramStart"/>
      <w:r>
        <w:rPr>
          <w:rFonts w:asciiTheme="minorEastAsia" w:eastAsiaTheme="minorEastAsia" w:hAnsiTheme="minorEastAsia" w:cs="仿宋_GB2312" w:hint="eastAsia"/>
          <w:sz w:val="32"/>
          <w:szCs w:val="32"/>
        </w:rPr>
        <w:t>肖雪副院长</w:t>
      </w:r>
      <w:proofErr w:type="gramEnd"/>
      <w:r>
        <w:rPr>
          <w:rFonts w:asciiTheme="minorEastAsia" w:eastAsiaTheme="minorEastAsia" w:hAnsiTheme="minorEastAsia" w:cs="仿宋_GB2312" w:hint="eastAsia"/>
          <w:sz w:val="32"/>
          <w:szCs w:val="32"/>
        </w:rPr>
        <w:t>来巴调研座谈会餐费0.158万元，</w:t>
      </w:r>
      <w:proofErr w:type="gramStart"/>
      <w:r>
        <w:rPr>
          <w:rFonts w:asciiTheme="minorEastAsia" w:eastAsiaTheme="minorEastAsia" w:hAnsiTheme="minorEastAsia" w:cs="仿宋_GB2312" w:hint="eastAsia"/>
          <w:sz w:val="32"/>
          <w:szCs w:val="32"/>
        </w:rPr>
        <w:t>成巴合作产</w:t>
      </w:r>
      <w:proofErr w:type="gramEnd"/>
      <w:r>
        <w:rPr>
          <w:rFonts w:asciiTheme="minorEastAsia" w:eastAsiaTheme="minorEastAsia" w:hAnsiTheme="minorEastAsia" w:cs="仿宋_GB2312" w:hint="eastAsia"/>
          <w:sz w:val="32"/>
          <w:szCs w:val="32"/>
        </w:rPr>
        <w:t>儿科急救双盲演练用餐费0.109万元。</w:t>
      </w:r>
    </w:p>
    <w:p w14:paraId="0F6B7AF1" w14:textId="77777777" w:rsidR="00B85073" w:rsidRDefault="00000000">
      <w:pPr>
        <w:spacing w:line="600" w:lineRule="exact"/>
        <w:ind w:firstLine="640"/>
        <w:outlineLvl w:val="1"/>
        <w:rPr>
          <w:rStyle w:val="20"/>
          <w:rFonts w:asciiTheme="minorEastAsia" w:eastAsiaTheme="minorEastAsia" w:hAnsiTheme="minorEastAsia" w:hint="eastAsia"/>
        </w:rPr>
      </w:pPr>
      <w:bookmarkStart w:id="53" w:name="_Toc210112702"/>
      <w:r>
        <w:rPr>
          <w:rFonts w:asciiTheme="minorEastAsia" w:eastAsiaTheme="minorEastAsia" w:hAnsiTheme="minorEastAsia" w:hint="eastAsia"/>
          <w:sz w:val="32"/>
          <w:szCs w:val="32"/>
        </w:rPr>
        <w:t>八、</w:t>
      </w:r>
      <w:r>
        <w:rPr>
          <w:rStyle w:val="20"/>
          <w:rFonts w:asciiTheme="minorEastAsia" w:eastAsiaTheme="minorEastAsia" w:hAnsiTheme="minorEastAsia" w:hint="eastAsia"/>
          <w:b w:val="0"/>
        </w:rPr>
        <w:t>政府性基金预算支出决算情况说明</w:t>
      </w:r>
      <w:bookmarkEnd w:id="51"/>
      <w:bookmarkEnd w:id="52"/>
      <w:bookmarkEnd w:id="53"/>
    </w:p>
    <w:p w14:paraId="295827AC" w14:textId="77777777" w:rsidR="00B85073" w:rsidRDefault="00000000">
      <w:pPr>
        <w:spacing w:line="600" w:lineRule="exact"/>
        <w:ind w:firstLine="640"/>
        <w:rPr>
          <w:rFonts w:asciiTheme="minorEastAsia" w:eastAsiaTheme="minorEastAsia" w:hAnsiTheme="minorEastAsia" w:cs="仿宋_GB2312" w:hint="eastAsia"/>
          <w:b/>
          <w:bCs/>
          <w:sz w:val="32"/>
          <w:szCs w:val="32"/>
        </w:rPr>
      </w:pPr>
      <w:r>
        <w:rPr>
          <w:rFonts w:asciiTheme="minorEastAsia" w:eastAsiaTheme="minorEastAsia" w:hAnsiTheme="minorEastAsia" w:cs="仿宋_GB2312" w:hint="eastAsia"/>
          <w:sz w:val="32"/>
          <w:szCs w:val="32"/>
        </w:rPr>
        <w:t>2024年度政府性基金预算财政拨款支出2747.34万元，占本年支出合计的28.10%。与2023年度相比，政府性基金预算财政拨款支出减少364.72万元，减少11.72%。主要变动原因是2023年争取到政府性基金预算财政拨款300万元用于巴中市医疗服务体系建设项目补助资金。</w:t>
      </w:r>
    </w:p>
    <w:p w14:paraId="35F6CD33" w14:textId="77777777" w:rsidR="00B85073" w:rsidRDefault="00000000">
      <w:pPr>
        <w:spacing w:line="600" w:lineRule="exact"/>
        <w:ind w:left="630"/>
        <w:outlineLvl w:val="1"/>
        <w:rPr>
          <w:rStyle w:val="20"/>
          <w:rFonts w:asciiTheme="minorEastAsia" w:eastAsiaTheme="minorEastAsia" w:hAnsiTheme="minorEastAsia" w:hint="eastAsia"/>
          <w:b w:val="0"/>
        </w:rPr>
      </w:pPr>
      <w:bookmarkStart w:id="54" w:name="_Toc15396611"/>
      <w:bookmarkStart w:id="55" w:name="_Toc210112703"/>
      <w:bookmarkStart w:id="56" w:name="_Toc15377219"/>
      <w:r>
        <w:rPr>
          <w:rStyle w:val="20"/>
          <w:rFonts w:asciiTheme="minorEastAsia" w:eastAsiaTheme="minorEastAsia" w:hAnsiTheme="minorEastAsia" w:hint="eastAsia"/>
          <w:b w:val="0"/>
        </w:rPr>
        <w:t>九、国有资本经营预算支出决算情况说明</w:t>
      </w:r>
      <w:bookmarkEnd w:id="54"/>
      <w:bookmarkEnd w:id="55"/>
      <w:bookmarkEnd w:id="56"/>
    </w:p>
    <w:p w14:paraId="582ADD97" w14:textId="77777777" w:rsidR="00B85073" w:rsidRDefault="00000000">
      <w:pPr>
        <w:spacing w:line="600" w:lineRule="exact"/>
        <w:ind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sz w:val="32"/>
          <w:szCs w:val="32"/>
        </w:rPr>
        <w:t>2024年度国有资本经营预算财政拨款支出0万元，占本年支出合计的0%。</w:t>
      </w:r>
    </w:p>
    <w:p w14:paraId="7F83CF4E" w14:textId="77777777" w:rsidR="00B85073" w:rsidRDefault="00000000">
      <w:pPr>
        <w:spacing w:line="600" w:lineRule="exact"/>
        <w:ind w:left="630"/>
        <w:outlineLvl w:val="1"/>
        <w:rPr>
          <w:rStyle w:val="20"/>
          <w:rFonts w:asciiTheme="minorEastAsia" w:eastAsiaTheme="minorEastAsia" w:hAnsiTheme="minorEastAsia" w:hint="eastAsia"/>
          <w:b w:val="0"/>
        </w:rPr>
      </w:pPr>
      <w:bookmarkStart w:id="57" w:name="_Toc15396612"/>
      <w:bookmarkStart w:id="58" w:name="_Toc15377221"/>
      <w:bookmarkStart w:id="59" w:name="_Toc210112704"/>
      <w:r>
        <w:rPr>
          <w:rStyle w:val="20"/>
          <w:rFonts w:asciiTheme="minorEastAsia" w:eastAsiaTheme="minorEastAsia" w:hAnsiTheme="minorEastAsia" w:hint="eastAsia"/>
          <w:b w:val="0"/>
        </w:rPr>
        <w:t>十、其他重要事项的情况说明</w:t>
      </w:r>
      <w:bookmarkEnd w:id="57"/>
      <w:bookmarkEnd w:id="58"/>
      <w:bookmarkEnd w:id="59"/>
    </w:p>
    <w:p w14:paraId="7EB4E149" w14:textId="77777777" w:rsidR="00B85073" w:rsidRDefault="00000000">
      <w:pPr>
        <w:spacing w:line="600" w:lineRule="exact"/>
        <w:ind w:firstLineChars="200" w:firstLine="643"/>
        <w:outlineLvl w:val="2"/>
        <w:rPr>
          <w:rFonts w:asciiTheme="minorEastAsia" w:eastAsiaTheme="minorEastAsia" w:hAnsiTheme="minorEastAsia" w:cs="楷体_GB2312" w:hint="eastAsia"/>
          <w:b/>
          <w:sz w:val="32"/>
          <w:szCs w:val="32"/>
        </w:rPr>
      </w:pPr>
      <w:bookmarkStart w:id="60" w:name="_Toc210112705"/>
      <w:bookmarkStart w:id="61" w:name="_Toc15377222"/>
      <w:r>
        <w:rPr>
          <w:rFonts w:asciiTheme="minorEastAsia" w:eastAsiaTheme="minorEastAsia" w:hAnsiTheme="minorEastAsia" w:cs="楷体_GB2312" w:hint="eastAsia"/>
          <w:b/>
          <w:sz w:val="32"/>
          <w:szCs w:val="32"/>
        </w:rPr>
        <w:t>（一）机关运行经费支出情况</w:t>
      </w:r>
      <w:bookmarkEnd w:id="60"/>
      <w:bookmarkEnd w:id="61"/>
    </w:p>
    <w:p w14:paraId="7C33BAC2" w14:textId="77777777" w:rsidR="00B85073" w:rsidRDefault="00000000">
      <w:pPr>
        <w:spacing w:line="600" w:lineRule="exact"/>
        <w:ind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sz w:val="32"/>
          <w:szCs w:val="32"/>
        </w:rPr>
        <w:lastRenderedPageBreak/>
        <w:t>2024年度，巴中市妇幼保健院</w:t>
      </w:r>
      <w:proofErr w:type="gramStart"/>
      <w:r>
        <w:rPr>
          <w:rFonts w:asciiTheme="minorEastAsia" w:eastAsiaTheme="minorEastAsia" w:hAnsiTheme="minorEastAsia" w:cs="仿宋_GB2312" w:hint="eastAsia"/>
          <w:sz w:val="32"/>
          <w:szCs w:val="32"/>
        </w:rPr>
        <w:t>无机关</w:t>
      </w:r>
      <w:proofErr w:type="gramEnd"/>
      <w:r>
        <w:rPr>
          <w:rFonts w:asciiTheme="minorEastAsia" w:eastAsiaTheme="minorEastAsia" w:hAnsiTheme="minorEastAsia" w:cs="仿宋_GB2312" w:hint="eastAsia"/>
          <w:sz w:val="32"/>
          <w:szCs w:val="32"/>
        </w:rPr>
        <w:t>运行经费支出。</w:t>
      </w:r>
    </w:p>
    <w:p w14:paraId="67908D73" w14:textId="77777777" w:rsidR="00B85073" w:rsidRDefault="00000000">
      <w:pPr>
        <w:spacing w:line="600" w:lineRule="exact"/>
        <w:ind w:firstLineChars="200" w:firstLine="643"/>
        <w:outlineLvl w:val="2"/>
        <w:rPr>
          <w:rFonts w:asciiTheme="minorEastAsia" w:eastAsiaTheme="minorEastAsia" w:hAnsiTheme="minorEastAsia" w:cs="楷体_GB2312" w:hint="eastAsia"/>
          <w:b/>
          <w:sz w:val="32"/>
          <w:szCs w:val="32"/>
        </w:rPr>
      </w:pPr>
      <w:bookmarkStart w:id="62" w:name="_Toc210112706"/>
      <w:bookmarkStart w:id="63" w:name="_Toc15377223"/>
      <w:r>
        <w:rPr>
          <w:rFonts w:asciiTheme="minorEastAsia" w:eastAsiaTheme="minorEastAsia" w:hAnsiTheme="minorEastAsia" w:cs="楷体_GB2312" w:hint="eastAsia"/>
          <w:b/>
          <w:sz w:val="32"/>
          <w:szCs w:val="32"/>
        </w:rPr>
        <w:t>（二）政府采购支出情况</w:t>
      </w:r>
      <w:bookmarkEnd w:id="62"/>
      <w:bookmarkEnd w:id="63"/>
    </w:p>
    <w:p w14:paraId="2F8F610D" w14:textId="77777777" w:rsidR="00B85073" w:rsidRDefault="00000000">
      <w:pPr>
        <w:spacing w:line="600" w:lineRule="exact"/>
        <w:ind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sz w:val="32"/>
          <w:szCs w:val="32"/>
        </w:rPr>
        <w:t>2024年度，巴中市妇幼保健院政府采购支出总额461.90万元，其中：政府采购货物支出429.41万元、政府采购服务支出32.49万元。主要用于委托检验服务费、医疗设备购置、办公用品购置。授予中小企业合同金额461.9万元，占政府采购支出总额的100%，其中：授予小</w:t>
      </w:r>
      <w:proofErr w:type="gramStart"/>
      <w:r>
        <w:rPr>
          <w:rFonts w:asciiTheme="minorEastAsia" w:eastAsiaTheme="minorEastAsia" w:hAnsiTheme="minorEastAsia" w:cs="仿宋_GB2312" w:hint="eastAsia"/>
          <w:sz w:val="32"/>
          <w:szCs w:val="32"/>
        </w:rPr>
        <w:t>微企业</w:t>
      </w:r>
      <w:proofErr w:type="gramEnd"/>
      <w:r>
        <w:rPr>
          <w:rFonts w:asciiTheme="minorEastAsia" w:eastAsiaTheme="minorEastAsia" w:hAnsiTheme="minorEastAsia" w:cs="仿宋_GB2312" w:hint="eastAsia"/>
          <w:sz w:val="32"/>
          <w:szCs w:val="32"/>
        </w:rPr>
        <w:t>合同金额0.17万元，占政府采购支出总额的0.04%。</w:t>
      </w:r>
    </w:p>
    <w:p w14:paraId="2A8AF542" w14:textId="77777777" w:rsidR="00B85073" w:rsidRDefault="00000000">
      <w:pPr>
        <w:spacing w:line="600" w:lineRule="exact"/>
        <w:ind w:firstLineChars="200" w:firstLine="643"/>
        <w:outlineLvl w:val="2"/>
        <w:rPr>
          <w:rFonts w:asciiTheme="minorEastAsia" w:eastAsiaTheme="minorEastAsia" w:hAnsiTheme="minorEastAsia" w:cs="楷体_GB2312" w:hint="eastAsia"/>
          <w:b/>
          <w:sz w:val="32"/>
          <w:szCs w:val="32"/>
        </w:rPr>
      </w:pPr>
      <w:bookmarkStart w:id="64" w:name="_Toc15377224"/>
      <w:bookmarkStart w:id="65" w:name="_Toc210112707"/>
      <w:r>
        <w:rPr>
          <w:rFonts w:asciiTheme="minorEastAsia" w:eastAsiaTheme="minorEastAsia" w:hAnsiTheme="minorEastAsia" w:cs="楷体_GB2312" w:hint="eastAsia"/>
          <w:b/>
          <w:sz w:val="32"/>
          <w:szCs w:val="32"/>
        </w:rPr>
        <w:t>（三）国有资产占有使用情况</w:t>
      </w:r>
      <w:bookmarkEnd w:id="64"/>
      <w:bookmarkEnd w:id="65"/>
    </w:p>
    <w:p w14:paraId="2FEFAE08" w14:textId="77777777" w:rsidR="00B85073" w:rsidRDefault="00000000">
      <w:pPr>
        <w:spacing w:line="600" w:lineRule="exact"/>
        <w:ind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sz w:val="32"/>
          <w:szCs w:val="32"/>
        </w:rPr>
        <w:t>截至2024年12月31日，巴中市妇幼保健院共有车辆3辆，其中：主要负责人用车0辆、机要通信用车0辆、应急保障用车0辆、其他用车3辆，其他用车主要是用于危急重症病人转运、日常团队出差需要。单价100万元（含）以上设备（不含车辆）12台（套）。</w:t>
      </w:r>
    </w:p>
    <w:p w14:paraId="18F44692" w14:textId="77777777" w:rsidR="00B85073" w:rsidRDefault="00000000">
      <w:pPr>
        <w:spacing w:line="600" w:lineRule="exact"/>
        <w:ind w:firstLineChars="200" w:firstLine="643"/>
        <w:outlineLvl w:val="2"/>
        <w:rPr>
          <w:rFonts w:asciiTheme="minorEastAsia" w:eastAsiaTheme="minorEastAsia" w:hAnsiTheme="minorEastAsia" w:cs="楷体_GB2312" w:hint="eastAsia"/>
          <w:b/>
          <w:sz w:val="32"/>
          <w:szCs w:val="32"/>
        </w:rPr>
      </w:pPr>
      <w:bookmarkStart w:id="66" w:name="_Toc210112708"/>
      <w:r>
        <w:rPr>
          <w:rFonts w:asciiTheme="minorEastAsia" w:eastAsiaTheme="minorEastAsia" w:hAnsiTheme="minorEastAsia" w:cs="楷体_GB2312" w:hint="eastAsia"/>
          <w:b/>
          <w:sz w:val="32"/>
          <w:szCs w:val="32"/>
        </w:rPr>
        <w:t>（四）预算绩效管理情况</w:t>
      </w:r>
      <w:bookmarkEnd w:id="66"/>
    </w:p>
    <w:p w14:paraId="6E440476" w14:textId="77777777" w:rsidR="00B85073" w:rsidRDefault="00000000">
      <w:pPr>
        <w:spacing w:line="600" w:lineRule="exact"/>
        <w:ind w:firstLine="640"/>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sz w:val="32"/>
          <w:szCs w:val="32"/>
        </w:rPr>
        <w:t>根据预算绩效管理要求，本单位在2024年度预算编制阶段，组织对0个项目开展了预算事前绩效评估，对48个项目编制了绩效目标，预算执行过程中，选取48个项目开展绩效监控。绩效自评报告详见附件。</w:t>
      </w:r>
    </w:p>
    <w:p w14:paraId="426C1043" w14:textId="77777777" w:rsidR="00B85073" w:rsidRDefault="00000000">
      <w:pPr>
        <w:pStyle w:val="a0"/>
      </w:pPr>
      <w:r>
        <w:rPr>
          <w:rFonts w:hint="eastAsia"/>
        </w:rPr>
        <w:br w:type="page"/>
      </w:r>
    </w:p>
    <w:p w14:paraId="46B8BBAC" w14:textId="77777777" w:rsidR="00B85073" w:rsidRDefault="00000000">
      <w:pPr>
        <w:spacing w:line="600" w:lineRule="exact"/>
        <w:jc w:val="center"/>
        <w:outlineLvl w:val="0"/>
        <w:rPr>
          <w:rFonts w:asciiTheme="minorEastAsia" w:eastAsiaTheme="minorEastAsia" w:hAnsiTheme="minorEastAsia" w:hint="eastAsia"/>
          <w:sz w:val="44"/>
          <w:szCs w:val="44"/>
        </w:rPr>
      </w:pPr>
      <w:bookmarkStart w:id="67" w:name="_Toc210112709"/>
      <w:bookmarkStart w:id="68" w:name="_Toc15377225"/>
      <w:bookmarkStart w:id="69" w:name="_Toc15396613"/>
      <w:r>
        <w:rPr>
          <w:rFonts w:asciiTheme="minorEastAsia" w:eastAsiaTheme="minorEastAsia" w:hAnsiTheme="minorEastAsia" w:hint="eastAsia"/>
          <w:sz w:val="44"/>
          <w:szCs w:val="44"/>
        </w:rPr>
        <w:lastRenderedPageBreak/>
        <w:t>第三部分  名词解释</w:t>
      </w:r>
      <w:bookmarkEnd w:id="67"/>
      <w:bookmarkEnd w:id="68"/>
      <w:bookmarkEnd w:id="69"/>
    </w:p>
    <w:p w14:paraId="38048D73" w14:textId="77777777" w:rsidR="00B85073" w:rsidRDefault="00000000">
      <w:pPr>
        <w:pStyle w:val="Default"/>
        <w:spacing w:line="560" w:lineRule="exact"/>
        <w:ind w:left="420" w:firstLineChars="200" w:firstLine="640"/>
        <w:rPr>
          <w:rFonts w:asciiTheme="minorEastAsia" w:eastAsiaTheme="minorEastAsia" w:hAnsiTheme="minorEastAsia" w:hint="eastAsia"/>
          <w:color w:val="auto"/>
          <w:sz w:val="32"/>
          <w:szCs w:val="32"/>
        </w:rPr>
      </w:pPr>
      <w:r>
        <w:rPr>
          <w:rFonts w:asciiTheme="minorEastAsia" w:eastAsiaTheme="minorEastAsia" w:hAnsiTheme="minorEastAsia"/>
          <w:color w:val="auto"/>
          <w:sz w:val="32"/>
          <w:szCs w:val="32"/>
        </w:rPr>
        <w:t>1.</w:t>
      </w:r>
      <w:r>
        <w:rPr>
          <w:rFonts w:asciiTheme="minorEastAsia" w:eastAsiaTheme="minorEastAsia" w:hAnsiTheme="minorEastAsia" w:hint="eastAsia"/>
          <w:color w:val="auto"/>
          <w:sz w:val="32"/>
          <w:szCs w:val="32"/>
        </w:rPr>
        <w:t>财政拨款收入：指单位从同级财政部门取得的财政预算资金。</w:t>
      </w:r>
    </w:p>
    <w:p w14:paraId="21B3580F" w14:textId="77777777" w:rsidR="00B85073" w:rsidRDefault="00000000">
      <w:pPr>
        <w:pStyle w:val="Default"/>
        <w:spacing w:line="560" w:lineRule="exact"/>
        <w:ind w:left="420" w:firstLineChars="200" w:firstLine="640"/>
        <w:rPr>
          <w:rFonts w:asciiTheme="minorEastAsia" w:eastAsiaTheme="minorEastAsia" w:hAnsiTheme="minorEastAsia" w:hint="eastAsia"/>
          <w:color w:val="auto"/>
          <w:sz w:val="32"/>
          <w:szCs w:val="32"/>
        </w:rPr>
      </w:pPr>
      <w:r>
        <w:rPr>
          <w:rFonts w:asciiTheme="minorEastAsia" w:eastAsiaTheme="minorEastAsia" w:hAnsiTheme="minorEastAsia"/>
          <w:color w:val="auto"/>
          <w:sz w:val="32"/>
          <w:szCs w:val="32"/>
        </w:rPr>
        <w:t>2.</w:t>
      </w:r>
      <w:r>
        <w:rPr>
          <w:rFonts w:asciiTheme="minorEastAsia" w:eastAsiaTheme="minorEastAsia" w:hAnsiTheme="minorEastAsia" w:hint="eastAsia"/>
          <w:color w:val="auto"/>
          <w:sz w:val="32"/>
          <w:szCs w:val="32"/>
        </w:rPr>
        <w:t>事业收入：指事业单位开展专业业务活动及辅助活动取得的收入。如医疗收入（二级预算单位事业收入情况）等。</w:t>
      </w:r>
    </w:p>
    <w:p w14:paraId="784604C6" w14:textId="77777777" w:rsidR="00B85073" w:rsidRDefault="00000000">
      <w:pPr>
        <w:pStyle w:val="Default"/>
        <w:spacing w:line="560" w:lineRule="exact"/>
        <w:ind w:left="420" w:firstLineChars="200" w:firstLine="640"/>
        <w:rPr>
          <w:rFonts w:asciiTheme="minorEastAsia" w:eastAsiaTheme="minorEastAsia" w:hAnsiTheme="minorEastAsia" w:hint="eastAsia"/>
          <w:color w:val="auto"/>
          <w:sz w:val="32"/>
          <w:szCs w:val="32"/>
        </w:rPr>
      </w:pPr>
      <w:r>
        <w:rPr>
          <w:rFonts w:asciiTheme="minorEastAsia" w:eastAsiaTheme="minorEastAsia" w:hAnsiTheme="minorEastAsia"/>
          <w:color w:val="auto"/>
          <w:sz w:val="32"/>
          <w:szCs w:val="32"/>
        </w:rPr>
        <w:t>3.</w:t>
      </w:r>
      <w:r>
        <w:rPr>
          <w:rFonts w:asciiTheme="minorEastAsia" w:eastAsiaTheme="minorEastAsia" w:hAnsiTheme="minorEastAsia" w:hint="eastAsia"/>
          <w:color w:val="auto"/>
          <w:sz w:val="32"/>
          <w:szCs w:val="32"/>
        </w:rPr>
        <w:t>经营收入：指事业单位在专业业务活动及其辅助活动之外开展非独立核算经营活动取得的收入。如食堂经营收入（二级预算单位经营收入情况）等。</w:t>
      </w:r>
    </w:p>
    <w:p w14:paraId="31320B27" w14:textId="77777777" w:rsidR="00B85073" w:rsidRDefault="00000000">
      <w:pPr>
        <w:pStyle w:val="Default"/>
        <w:spacing w:line="560" w:lineRule="exact"/>
        <w:ind w:left="420" w:firstLineChars="200" w:firstLine="640"/>
        <w:rPr>
          <w:rFonts w:asciiTheme="minorEastAsia" w:eastAsiaTheme="minorEastAsia" w:hAnsiTheme="minorEastAsia" w:hint="eastAsia"/>
          <w:color w:val="auto"/>
          <w:sz w:val="32"/>
          <w:szCs w:val="32"/>
        </w:rPr>
      </w:pPr>
      <w:r>
        <w:rPr>
          <w:rFonts w:asciiTheme="minorEastAsia" w:eastAsiaTheme="minorEastAsia" w:hAnsiTheme="minorEastAsia" w:cs="Times New Roman" w:hint="eastAsia"/>
          <w:color w:val="auto"/>
          <w:kern w:val="2"/>
          <w:sz w:val="32"/>
          <w:szCs w:val="32"/>
        </w:rPr>
        <w:t>4.</w:t>
      </w:r>
      <w:r>
        <w:rPr>
          <w:rFonts w:asciiTheme="minorEastAsia" w:eastAsiaTheme="minorEastAsia" w:hAnsiTheme="minorEastAsia" w:hint="eastAsia"/>
          <w:color w:val="auto"/>
          <w:sz w:val="32"/>
          <w:szCs w:val="32"/>
        </w:rPr>
        <w:t>其他收入：指单位取得的除上述收入以外的各项收入。主要是救护车收入、租金收入（收入类型）等。</w:t>
      </w:r>
      <w:r>
        <w:rPr>
          <w:rFonts w:asciiTheme="minorEastAsia" w:eastAsiaTheme="minorEastAsia" w:hAnsiTheme="minorEastAsia"/>
          <w:color w:val="auto"/>
          <w:sz w:val="32"/>
          <w:szCs w:val="32"/>
        </w:rPr>
        <w:t xml:space="preserve"> </w:t>
      </w:r>
    </w:p>
    <w:p w14:paraId="67E2AE4F" w14:textId="77777777" w:rsidR="00B85073" w:rsidRDefault="00000000">
      <w:pPr>
        <w:pStyle w:val="Default"/>
        <w:spacing w:line="560" w:lineRule="exact"/>
        <w:ind w:left="420" w:firstLineChars="200" w:firstLine="640"/>
        <w:rPr>
          <w:rFonts w:asciiTheme="minorEastAsia" w:eastAsiaTheme="minorEastAsia" w:hAnsiTheme="minorEastAsia" w:hint="eastAsia"/>
          <w:color w:val="auto"/>
          <w:sz w:val="32"/>
          <w:szCs w:val="32"/>
        </w:rPr>
      </w:pPr>
      <w:r>
        <w:rPr>
          <w:rFonts w:asciiTheme="minorEastAsia" w:eastAsiaTheme="minorEastAsia" w:hAnsiTheme="minorEastAsia" w:cs="Times New Roman" w:hint="eastAsia"/>
          <w:color w:val="auto"/>
          <w:kern w:val="2"/>
          <w:sz w:val="32"/>
          <w:szCs w:val="32"/>
        </w:rPr>
        <w:t>5.使</w:t>
      </w:r>
      <w:r>
        <w:rPr>
          <w:rFonts w:asciiTheme="minorEastAsia" w:eastAsiaTheme="minorEastAsia" w:hAnsiTheme="minorEastAsia" w:hint="eastAsia"/>
          <w:sz w:val="32"/>
          <w:szCs w:val="32"/>
        </w:rPr>
        <w:t>用非财政拨款结余（含专用结余）</w:t>
      </w:r>
      <w:r>
        <w:rPr>
          <w:rFonts w:asciiTheme="minorEastAsia" w:eastAsiaTheme="minorEastAsia" w:hAnsiTheme="minorEastAsia" w:hint="eastAsia"/>
          <w:color w:val="auto"/>
          <w:sz w:val="32"/>
          <w:szCs w:val="32"/>
        </w:rPr>
        <w:t>：指事业单位使用以前年度积累的非财政拨款结余弥补当年收支差额的金额。</w:t>
      </w:r>
      <w:r>
        <w:rPr>
          <w:rFonts w:asciiTheme="minorEastAsia" w:eastAsiaTheme="minorEastAsia" w:hAnsiTheme="minorEastAsia"/>
          <w:color w:val="auto"/>
          <w:sz w:val="32"/>
          <w:szCs w:val="32"/>
        </w:rPr>
        <w:t xml:space="preserve"> </w:t>
      </w:r>
    </w:p>
    <w:p w14:paraId="7E45F00D" w14:textId="77777777" w:rsidR="00B85073" w:rsidRDefault="00000000">
      <w:pPr>
        <w:pStyle w:val="Default"/>
        <w:spacing w:line="560" w:lineRule="exact"/>
        <w:ind w:left="420" w:firstLineChars="200" w:firstLine="640"/>
        <w:rPr>
          <w:rFonts w:asciiTheme="minorEastAsia" w:eastAsiaTheme="minorEastAsia" w:hAnsiTheme="minorEastAsia" w:hint="eastAsia"/>
          <w:color w:val="auto"/>
          <w:sz w:val="32"/>
          <w:szCs w:val="32"/>
        </w:rPr>
      </w:pPr>
      <w:r>
        <w:rPr>
          <w:rFonts w:asciiTheme="minorEastAsia" w:eastAsiaTheme="minorEastAsia" w:hAnsiTheme="minorEastAsia" w:cs="Times New Roman" w:hint="eastAsia"/>
          <w:color w:val="auto"/>
          <w:kern w:val="2"/>
          <w:sz w:val="32"/>
          <w:szCs w:val="32"/>
        </w:rPr>
        <w:t>6.年</w:t>
      </w:r>
      <w:r>
        <w:rPr>
          <w:rFonts w:asciiTheme="minorEastAsia" w:eastAsiaTheme="minorEastAsia" w:hAnsiTheme="minorEastAsia" w:hint="eastAsia"/>
          <w:color w:val="auto"/>
          <w:sz w:val="32"/>
          <w:szCs w:val="32"/>
        </w:rPr>
        <w:t>初结转和结余：指以前年度尚未完成、结转到本年按有关规定继续使用的资金。</w:t>
      </w:r>
      <w:r>
        <w:rPr>
          <w:rFonts w:asciiTheme="minorEastAsia" w:eastAsiaTheme="minorEastAsia" w:hAnsiTheme="minorEastAsia"/>
          <w:color w:val="auto"/>
          <w:sz w:val="32"/>
          <w:szCs w:val="32"/>
        </w:rPr>
        <w:t xml:space="preserve"> </w:t>
      </w:r>
    </w:p>
    <w:p w14:paraId="5C171D61" w14:textId="77777777" w:rsidR="00B85073" w:rsidRDefault="00000000">
      <w:pPr>
        <w:pStyle w:val="Default"/>
        <w:spacing w:line="560" w:lineRule="exact"/>
        <w:ind w:left="420" w:firstLineChars="200" w:firstLine="640"/>
        <w:rPr>
          <w:rFonts w:asciiTheme="minorEastAsia" w:eastAsiaTheme="minorEastAsia" w:hAnsiTheme="minorEastAsia" w:hint="eastAsia"/>
          <w:color w:val="auto"/>
          <w:sz w:val="32"/>
          <w:szCs w:val="32"/>
        </w:rPr>
      </w:pPr>
      <w:r>
        <w:rPr>
          <w:rFonts w:asciiTheme="minorEastAsia" w:eastAsiaTheme="minorEastAsia" w:hAnsiTheme="minorEastAsia" w:cs="Times New Roman" w:hint="eastAsia"/>
          <w:color w:val="auto"/>
          <w:kern w:val="2"/>
          <w:sz w:val="32"/>
          <w:szCs w:val="32"/>
        </w:rPr>
        <w:t>7.</w:t>
      </w:r>
      <w:r>
        <w:rPr>
          <w:rFonts w:asciiTheme="minorEastAsia" w:eastAsiaTheme="minorEastAsia" w:hAnsiTheme="minorEastAsia" w:hint="eastAsia"/>
          <w:color w:val="auto"/>
          <w:sz w:val="32"/>
          <w:szCs w:val="32"/>
        </w:rPr>
        <w:t>结余分配：指事业单位按照会计制度规定缴纳的所得税、提取的专用结余以及转入非财政拨款结余的金额等。</w:t>
      </w:r>
    </w:p>
    <w:p w14:paraId="7DCEF969" w14:textId="77777777" w:rsidR="00B85073" w:rsidRDefault="00000000">
      <w:pPr>
        <w:pStyle w:val="Default"/>
        <w:spacing w:line="560" w:lineRule="exact"/>
        <w:ind w:left="420" w:firstLineChars="200" w:firstLine="640"/>
        <w:rPr>
          <w:rFonts w:asciiTheme="minorEastAsia" w:eastAsiaTheme="minorEastAsia" w:hAnsiTheme="minorEastAsia" w:hint="eastAsia"/>
          <w:color w:val="auto"/>
          <w:sz w:val="32"/>
          <w:szCs w:val="32"/>
        </w:rPr>
      </w:pPr>
      <w:r>
        <w:rPr>
          <w:rFonts w:asciiTheme="minorEastAsia" w:eastAsiaTheme="minorEastAsia" w:hAnsiTheme="minorEastAsia" w:cs="Times New Roman" w:hint="eastAsia"/>
          <w:color w:val="auto"/>
          <w:kern w:val="2"/>
          <w:sz w:val="32"/>
          <w:szCs w:val="32"/>
        </w:rPr>
        <w:t>8.</w:t>
      </w:r>
      <w:r>
        <w:rPr>
          <w:rFonts w:asciiTheme="minorEastAsia" w:eastAsiaTheme="minorEastAsia" w:hAnsiTheme="minorEastAsia" w:hint="eastAsia"/>
          <w:color w:val="auto"/>
          <w:sz w:val="32"/>
          <w:szCs w:val="32"/>
        </w:rPr>
        <w:t>年末结转和结余：指单位按有关规定结转到下年或以后年度继续使用的资金。</w:t>
      </w:r>
    </w:p>
    <w:p w14:paraId="084335EC" w14:textId="77777777" w:rsidR="00B85073" w:rsidRDefault="00000000">
      <w:pPr>
        <w:ind w:firstLineChars="200" w:firstLine="640"/>
        <w:rPr>
          <w:rFonts w:asciiTheme="minorEastAsia" w:eastAsiaTheme="minorEastAsia" w:hAnsiTheme="minorEastAsia" w:hint="eastAsia"/>
          <w:sz w:val="32"/>
          <w:szCs w:val="32"/>
        </w:rPr>
      </w:pPr>
      <w:r>
        <w:rPr>
          <w:rFonts w:asciiTheme="minorEastAsia" w:eastAsiaTheme="minorEastAsia" w:hAnsiTheme="minorEastAsia" w:cs="仿宋" w:hint="eastAsia"/>
          <w:kern w:val="0"/>
          <w:sz w:val="32"/>
          <w:szCs w:val="32"/>
        </w:rPr>
        <w:t>9</w:t>
      </w:r>
      <w:r>
        <w:rPr>
          <w:rFonts w:asciiTheme="minorEastAsia" w:eastAsiaTheme="minorEastAsia" w:hAnsiTheme="minorEastAsia" w:cs="仿宋"/>
          <w:kern w:val="0"/>
          <w:sz w:val="32"/>
          <w:szCs w:val="32"/>
        </w:rPr>
        <w:t>.</w:t>
      </w:r>
      <w:r>
        <w:rPr>
          <w:rFonts w:asciiTheme="minorEastAsia" w:eastAsiaTheme="minorEastAsia" w:hAnsiTheme="minorEastAsia" w:hint="eastAsia"/>
          <w:sz w:val="32"/>
          <w:szCs w:val="32"/>
        </w:rPr>
        <w:t>社会保障和就业（类）行政事业单位养老支出（款）机关事业单位基本养老保险缴费支出（项）：指人员经费中基本养老保险缴费。</w:t>
      </w:r>
    </w:p>
    <w:p w14:paraId="15784D1E" w14:textId="77777777" w:rsidR="00B85073" w:rsidRDefault="00000000">
      <w:pPr>
        <w:pStyle w:val="a5"/>
        <w:spacing w:before="93"/>
        <w:ind w:firstLineChars="200" w:firstLine="640"/>
        <w:rPr>
          <w:rFonts w:asciiTheme="minorEastAsia" w:eastAsiaTheme="minorEastAsia" w:hAnsiTheme="minorEastAsia" w:hint="eastAsia"/>
          <w:sz w:val="32"/>
          <w:szCs w:val="32"/>
        </w:rPr>
      </w:pPr>
      <w:r>
        <w:rPr>
          <w:rFonts w:asciiTheme="minorEastAsia" w:eastAsiaTheme="minorEastAsia" w:hAnsiTheme="minorEastAsia" w:cs="仿宋" w:hint="eastAsia"/>
          <w:sz w:val="32"/>
          <w:szCs w:val="32"/>
        </w:rPr>
        <w:t>10.</w:t>
      </w:r>
      <w:r>
        <w:rPr>
          <w:rFonts w:asciiTheme="minorEastAsia" w:eastAsiaTheme="minorEastAsia" w:hAnsiTheme="minorEastAsia" w:hint="eastAsia"/>
          <w:sz w:val="32"/>
          <w:szCs w:val="32"/>
        </w:rPr>
        <w:t>卫生健康（类）公共卫生（款）重大公共卫生服务</w:t>
      </w:r>
      <w:r>
        <w:rPr>
          <w:rFonts w:asciiTheme="minorEastAsia" w:eastAsiaTheme="minorEastAsia" w:hAnsiTheme="minorEastAsia" w:hint="eastAsia"/>
          <w:sz w:val="32"/>
          <w:szCs w:val="32"/>
        </w:rPr>
        <w:lastRenderedPageBreak/>
        <w:t>（项）：指重大疾病预防控制等重大公共卫生服务的运行，如艾滋病控制工作。</w:t>
      </w:r>
    </w:p>
    <w:p w14:paraId="43333C15" w14:textId="77777777" w:rsidR="00B85073" w:rsidRDefault="00000000">
      <w:pPr>
        <w:pStyle w:val="a5"/>
        <w:spacing w:before="93"/>
        <w:ind w:firstLineChars="200" w:firstLine="640"/>
        <w:rPr>
          <w:rFonts w:asciiTheme="minorEastAsia" w:eastAsiaTheme="minorEastAsia" w:hAnsiTheme="minorEastAsia" w:hint="eastAsia"/>
          <w:sz w:val="32"/>
          <w:szCs w:val="32"/>
        </w:rPr>
      </w:pPr>
      <w:r>
        <w:rPr>
          <w:rFonts w:asciiTheme="minorEastAsia" w:eastAsiaTheme="minorEastAsia" w:hAnsiTheme="minorEastAsia"/>
          <w:sz w:val="32"/>
          <w:szCs w:val="32"/>
        </w:rPr>
        <w:t>1</w:t>
      </w:r>
      <w:r>
        <w:rPr>
          <w:rFonts w:asciiTheme="minorEastAsia" w:eastAsiaTheme="minorEastAsia" w:hAnsiTheme="minorEastAsia" w:hint="eastAsia"/>
          <w:sz w:val="32"/>
          <w:szCs w:val="32"/>
        </w:rPr>
        <w:t>1</w:t>
      </w:r>
      <w:r>
        <w:rPr>
          <w:rFonts w:asciiTheme="minorEastAsia" w:eastAsiaTheme="minorEastAsia" w:hAnsiTheme="minorEastAsia"/>
          <w:sz w:val="32"/>
          <w:szCs w:val="32"/>
        </w:rPr>
        <w:t>.</w:t>
      </w:r>
      <w:r>
        <w:rPr>
          <w:rFonts w:asciiTheme="minorEastAsia" w:eastAsiaTheme="minorEastAsia" w:hAnsiTheme="minorEastAsia" w:hint="eastAsia"/>
          <w:sz w:val="32"/>
          <w:szCs w:val="32"/>
        </w:rPr>
        <w:t>卫生健康（类）公共卫生（款）妇幼保健机构（项）：指妇幼保健机构基本公共卫生服务的运行。如人员经费、公用经费等日常运转经费及党建、乡村振兴等项目经费。</w:t>
      </w:r>
    </w:p>
    <w:p w14:paraId="1F94D6B6" w14:textId="77777777" w:rsidR="00B85073" w:rsidRDefault="00000000">
      <w:pPr>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12</w:t>
      </w:r>
      <w:r>
        <w:rPr>
          <w:rFonts w:asciiTheme="minorEastAsia" w:eastAsiaTheme="minorEastAsia" w:hAnsiTheme="minorEastAsia"/>
          <w:sz w:val="32"/>
          <w:szCs w:val="32"/>
        </w:rPr>
        <w:t>.</w:t>
      </w:r>
      <w:r>
        <w:rPr>
          <w:rFonts w:asciiTheme="minorEastAsia" w:eastAsiaTheme="minorEastAsia" w:hAnsiTheme="minorEastAsia" w:hint="eastAsia"/>
          <w:sz w:val="32"/>
          <w:szCs w:val="32"/>
        </w:rPr>
        <w:t>卫生健康（类）公立医院（款）其他公立医院支出（项）：指公立医院用于医疗服务与保障能力提升（卫生健康人才培养）。如人才引进卫生健康人才相关经费。</w:t>
      </w:r>
    </w:p>
    <w:p w14:paraId="2BFDB8DE" w14:textId="77777777" w:rsidR="00B85073" w:rsidRDefault="00000000">
      <w:pPr>
        <w:pStyle w:val="a5"/>
        <w:spacing w:before="93"/>
        <w:ind w:firstLineChars="200" w:firstLine="640"/>
        <w:rPr>
          <w:rFonts w:asciiTheme="minorEastAsia" w:eastAsiaTheme="minorEastAsia" w:hAnsiTheme="minorEastAsia" w:hint="eastAsia"/>
          <w:sz w:val="32"/>
          <w:szCs w:val="32"/>
        </w:rPr>
      </w:pPr>
      <w:r>
        <w:rPr>
          <w:rFonts w:asciiTheme="minorEastAsia" w:eastAsiaTheme="minorEastAsia" w:hAnsiTheme="minorEastAsia"/>
          <w:sz w:val="32"/>
          <w:szCs w:val="32"/>
        </w:rPr>
        <w:t>1</w:t>
      </w:r>
      <w:r>
        <w:rPr>
          <w:rFonts w:asciiTheme="minorEastAsia" w:eastAsiaTheme="minorEastAsia" w:hAnsiTheme="minorEastAsia" w:hint="eastAsia"/>
          <w:sz w:val="32"/>
          <w:szCs w:val="32"/>
        </w:rPr>
        <w:t>3</w:t>
      </w:r>
      <w:r>
        <w:rPr>
          <w:rFonts w:asciiTheme="minorEastAsia" w:eastAsiaTheme="minorEastAsia" w:hAnsiTheme="minorEastAsia"/>
          <w:sz w:val="32"/>
          <w:szCs w:val="32"/>
        </w:rPr>
        <w:t>.</w:t>
      </w:r>
      <w:r>
        <w:rPr>
          <w:rFonts w:asciiTheme="minorEastAsia" w:eastAsiaTheme="minorEastAsia" w:hAnsiTheme="minorEastAsia" w:hint="eastAsia"/>
          <w:sz w:val="32"/>
          <w:szCs w:val="32"/>
        </w:rPr>
        <w:t>卫生健康（类）公共卫生（款）突发公共卫生事件应急处理（项）：指突发公共卫生事件应急处理的支出。如新冠患者救治费用。</w:t>
      </w:r>
    </w:p>
    <w:p w14:paraId="3FA9F1B1" w14:textId="77777777" w:rsidR="00B85073" w:rsidRDefault="00000000">
      <w:pPr>
        <w:pStyle w:val="a5"/>
        <w:spacing w:before="93"/>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14.卫生健康（类）公共卫生（款）其他公共卫生支出（项）：指公立医院用于其他公共</w:t>
      </w:r>
      <w:proofErr w:type="gramStart"/>
      <w:r>
        <w:rPr>
          <w:rFonts w:asciiTheme="minorEastAsia" w:eastAsiaTheme="minorEastAsia" w:hAnsiTheme="minorEastAsia" w:hint="eastAsia"/>
          <w:sz w:val="32"/>
          <w:szCs w:val="32"/>
        </w:rPr>
        <w:t>卫运行</w:t>
      </w:r>
      <w:proofErr w:type="gramEnd"/>
      <w:r>
        <w:rPr>
          <w:rFonts w:asciiTheme="minorEastAsia" w:eastAsiaTheme="minorEastAsia" w:hAnsiTheme="minorEastAsia" w:hint="eastAsia"/>
          <w:sz w:val="32"/>
          <w:szCs w:val="32"/>
        </w:rPr>
        <w:t>经费。如公共卫生特别服务岗（医疗卫生岗）招募人员待遇经费。</w:t>
      </w:r>
    </w:p>
    <w:p w14:paraId="75A9F35B" w14:textId="77777777" w:rsidR="00B85073" w:rsidRDefault="00000000">
      <w:pPr>
        <w:pStyle w:val="a5"/>
        <w:spacing w:before="93"/>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15.卫生健康（类）行政事业单位医疗（款）事业单位医疗（项）：指用于事业单位医疗服务。如事业单位医疗保险。</w:t>
      </w:r>
    </w:p>
    <w:p w14:paraId="13E9E505" w14:textId="77777777" w:rsidR="00B85073" w:rsidRDefault="00000000">
      <w:pPr>
        <w:pStyle w:val="a5"/>
        <w:spacing w:before="93"/>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16.卫生健康（类）其他卫生健康支出（款）其他卫生健康支出（项）：指其他卫生健康服务。如临时性工作补助资金。</w:t>
      </w:r>
    </w:p>
    <w:p w14:paraId="0F03A725" w14:textId="77777777" w:rsidR="00B85073" w:rsidRDefault="00000000">
      <w:pPr>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17.其他支出（类）其他支出（款）其他支出（项）：指</w:t>
      </w:r>
      <w:proofErr w:type="gramStart"/>
      <w:r>
        <w:rPr>
          <w:rFonts w:asciiTheme="minorEastAsia" w:eastAsiaTheme="minorEastAsia" w:hAnsiTheme="minorEastAsia" w:hint="eastAsia"/>
          <w:sz w:val="32"/>
          <w:szCs w:val="32"/>
        </w:rPr>
        <w:lastRenderedPageBreak/>
        <w:t>除医院</w:t>
      </w:r>
      <w:proofErr w:type="gramEnd"/>
      <w:r>
        <w:rPr>
          <w:rFonts w:asciiTheme="minorEastAsia" w:eastAsiaTheme="minorEastAsia" w:hAnsiTheme="minorEastAsia" w:hint="eastAsia"/>
          <w:sz w:val="32"/>
          <w:szCs w:val="32"/>
        </w:rPr>
        <w:t>基本公共卫生服务外的支出。如基本建设支出。</w:t>
      </w:r>
    </w:p>
    <w:p w14:paraId="1A2FDE02" w14:textId="77777777" w:rsidR="00B85073" w:rsidRDefault="00000000">
      <w:pPr>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18.住房保障（类）住房改革支出（款）住房公积金（项）：指用于住房保障类支出。如住房公积金缴费。</w:t>
      </w:r>
    </w:p>
    <w:p w14:paraId="3964A29B" w14:textId="77777777" w:rsidR="00B85073" w:rsidRDefault="00000000">
      <w:pPr>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20.基本支出：指为保障机构正常运转、完成日常工作任务而发生的人员支出和公用支出。</w:t>
      </w:r>
    </w:p>
    <w:p w14:paraId="64BEF0C5" w14:textId="77777777" w:rsidR="00B85073" w:rsidRDefault="00000000">
      <w:pPr>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21.项目支出：指在基本支出之外为完成特定行政任务和事业发展目标所发生的支出。</w:t>
      </w:r>
      <w:r>
        <w:rPr>
          <w:rFonts w:asciiTheme="minorEastAsia" w:eastAsiaTheme="minorEastAsia" w:hAnsiTheme="minorEastAsia"/>
          <w:sz w:val="32"/>
          <w:szCs w:val="32"/>
        </w:rPr>
        <w:t xml:space="preserve"> </w:t>
      </w:r>
    </w:p>
    <w:p w14:paraId="0C2794F4" w14:textId="77777777" w:rsidR="00B85073" w:rsidRDefault="00000000">
      <w:pPr>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22.经营支出：指事业单位在专业业务活动及其辅助活动之外开展非独立核算经营活动发生的支出。</w:t>
      </w:r>
    </w:p>
    <w:p w14:paraId="658A10E2" w14:textId="77777777" w:rsidR="00B85073" w:rsidRDefault="00000000">
      <w:pPr>
        <w:pStyle w:val="Default"/>
        <w:spacing w:line="560" w:lineRule="exact"/>
        <w:ind w:left="420" w:firstLineChars="200" w:firstLine="640"/>
        <w:rPr>
          <w:rFonts w:asciiTheme="minorEastAsia" w:eastAsiaTheme="minorEastAsia" w:hAnsiTheme="minorEastAsia" w:hint="eastAsia"/>
          <w:color w:val="auto"/>
          <w:sz w:val="32"/>
          <w:szCs w:val="32"/>
        </w:rPr>
      </w:pPr>
      <w:r>
        <w:rPr>
          <w:rFonts w:asciiTheme="minorEastAsia" w:eastAsiaTheme="minorEastAsia" w:hAnsiTheme="minorEastAsia" w:cs="Times New Roman" w:hint="eastAsia"/>
          <w:color w:val="auto"/>
          <w:kern w:val="2"/>
          <w:sz w:val="32"/>
          <w:szCs w:val="32"/>
        </w:rPr>
        <w:t>23.</w:t>
      </w:r>
      <w:r>
        <w:rPr>
          <w:rFonts w:asciiTheme="minorEastAsia" w:eastAsiaTheme="minorEastAsia" w:hAnsiTheme="minorEastAsia" w:hint="eastAsia"/>
          <w:color w:val="auto"/>
          <w:sz w:val="32"/>
          <w:szCs w:val="32"/>
        </w:rPr>
        <w:t>“三公”经费：指单位用财政拨款安排的因公出国（境）费、公务用车购置及运行费和公务接待费。其中，因公出国（境）</w:t>
      </w:r>
      <w:proofErr w:type="gramStart"/>
      <w:r>
        <w:rPr>
          <w:rFonts w:asciiTheme="minorEastAsia" w:eastAsiaTheme="minorEastAsia" w:hAnsiTheme="minorEastAsia" w:hint="eastAsia"/>
          <w:color w:val="auto"/>
          <w:sz w:val="32"/>
          <w:szCs w:val="32"/>
        </w:rPr>
        <w:t>费反映</w:t>
      </w:r>
      <w:proofErr w:type="gramEnd"/>
      <w:r>
        <w:rPr>
          <w:rFonts w:asciiTheme="minorEastAsia" w:eastAsiaTheme="minorEastAsia" w:hAnsiTheme="minorEastAsia" w:hint="eastAsia"/>
          <w:color w:val="auto"/>
          <w:sz w:val="32"/>
          <w:szCs w:val="32"/>
        </w:rPr>
        <w:t>单位公务出国（境）的国际旅费、国外城市间交通费、住宿费、伙食费、培训费、公杂费等支出；公务用车购置及运行</w:t>
      </w:r>
      <w:proofErr w:type="gramStart"/>
      <w:r>
        <w:rPr>
          <w:rFonts w:asciiTheme="minorEastAsia" w:eastAsiaTheme="minorEastAsia" w:hAnsiTheme="minorEastAsia" w:hint="eastAsia"/>
          <w:color w:val="auto"/>
          <w:sz w:val="32"/>
          <w:szCs w:val="32"/>
        </w:rPr>
        <w:t>费反映</w:t>
      </w:r>
      <w:proofErr w:type="gramEnd"/>
      <w:r>
        <w:rPr>
          <w:rFonts w:asciiTheme="minorEastAsia" w:eastAsiaTheme="minorEastAsia" w:hAnsiTheme="minorEastAsia" w:hint="eastAsia"/>
          <w:color w:val="auto"/>
          <w:sz w:val="32"/>
          <w:szCs w:val="32"/>
        </w:rPr>
        <w:t>单位公务用车车辆购置支出（</w:t>
      </w:r>
      <w:proofErr w:type="gramStart"/>
      <w:r>
        <w:rPr>
          <w:rFonts w:asciiTheme="minorEastAsia" w:eastAsiaTheme="minorEastAsia" w:hAnsiTheme="minorEastAsia" w:hint="eastAsia"/>
          <w:color w:val="auto"/>
          <w:sz w:val="32"/>
          <w:szCs w:val="32"/>
        </w:rPr>
        <w:t>含车辆</w:t>
      </w:r>
      <w:proofErr w:type="gramEnd"/>
      <w:r>
        <w:rPr>
          <w:rFonts w:asciiTheme="minorEastAsia" w:eastAsiaTheme="minorEastAsia" w:hAnsiTheme="minorEastAsia" w:hint="eastAsia"/>
          <w:color w:val="auto"/>
          <w:sz w:val="32"/>
          <w:szCs w:val="32"/>
        </w:rPr>
        <w:t>购置税）及租用费、燃料费、维修费、过路过桥费、保险费等支出；公务接待</w:t>
      </w:r>
      <w:proofErr w:type="gramStart"/>
      <w:r>
        <w:rPr>
          <w:rFonts w:asciiTheme="minorEastAsia" w:eastAsiaTheme="minorEastAsia" w:hAnsiTheme="minorEastAsia" w:hint="eastAsia"/>
          <w:color w:val="auto"/>
          <w:sz w:val="32"/>
          <w:szCs w:val="32"/>
        </w:rPr>
        <w:t>费反映</w:t>
      </w:r>
      <w:proofErr w:type="gramEnd"/>
      <w:r>
        <w:rPr>
          <w:rFonts w:asciiTheme="minorEastAsia" w:eastAsiaTheme="minorEastAsia" w:hAnsiTheme="minorEastAsia" w:hint="eastAsia"/>
          <w:color w:val="auto"/>
          <w:sz w:val="32"/>
          <w:szCs w:val="32"/>
        </w:rPr>
        <w:t>单位按规定开支的各类公务接待（含外宾接待）支出。</w:t>
      </w:r>
    </w:p>
    <w:p w14:paraId="7CB68970" w14:textId="77777777" w:rsidR="00B85073" w:rsidRDefault="00000000">
      <w:pPr>
        <w:pStyle w:val="Default"/>
        <w:spacing w:line="560" w:lineRule="exact"/>
        <w:ind w:left="420" w:firstLineChars="200" w:firstLine="640"/>
        <w:rPr>
          <w:rFonts w:asciiTheme="minorEastAsia" w:eastAsiaTheme="minorEastAsia" w:hAnsiTheme="minorEastAsia" w:hint="eastAsia"/>
          <w:color w:val="auto"/>
          <w:sz w:val="32"/>
          <w:szCs w:val="32"/>
        </w:rPr>
      </w:pPr>
      <w:r>
        <w:rPr>
          <w:rFonts w:asciiTheme="minorEastAsia" w:eastAsiaTheme="minorEastAsia" w:hAnsiTheme="minorEastAsia" w:cs="Times New Roman" w:hint="eastAsia"/>
          <w:color w:val="auto"/>
          <w:kern w:val="2"/>
          <w:sz w:val="32"/>
          <w:szCs w:val="32"/>
        </w:rPr>
        <w:t>24.机</w:t>
      </w:r>
      <w:r>
        <w:rPr>
          <w:rFonts w:asciiTheme="minorEastAsia" w:eastAsiaTheme="minorEastAsia" w:hAnsiTheme="minorEastAsia" w:hint="eastAsia"/>
          <w:color w:val="auto"/>
          <w:sz w:val="32"/>
          <w:szCs w:val="32"/>
        </w:rPr>
        <w:t>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1C377A4" w14:textId="77777777" w:rsidR="00B85073" w:rsidRDefault="00000000">
      <w:pPr>
        <w:spacing w:line="600" w:lineRule="exact"/>
        <w:jc w:val="center"/>
        <w:rPr>
          <w:rStyle w:val="10"/>
          <w:rFonts w:asciiTheme="minorEastAsia" w:eastAsiaTheme="minorEastAsia" w:hAnsiTheme="minorEastAsia" w:hint="eastAsia"/>
          <w:b w:val="0"/>
        </w:rPr>
      </w:pPr>
      <w:bookmarkStart w:id="70" w:name="_Toc15377226"/>
      <w:r>
        <w:rPr>
          <w:rFonts w:asciiTheme="minorEastAsia" w:eastAsiaTheme="minorEastAsia" w:hAnsiTheme="minorEastAsia" w:cs="仿宋_GB2312" w:hint="eastAsia"/>
          <w:sz w:val="32"/>
          <w:szCs w:val="32"/>
        </w:rPr>
        <w:br w:type="page"/>
      </w:r>
      <w:bookmarkStart w:id="71" w:name="_Toc15396614"/>
      <w:r>
        <w:rPr>
          <w:rFonts w:asciiTheme="minorEastAsia" w:eastAsiaTheme="minorEastAsia" w:hAnsiTheme="minorEastAsia" w:hint="eastAsia"/>
          <w:sz w:val="44"/>
          <w:szCs w:val="44"/>
        </w:rPr>
        <w:lastRenderedPageBreak/>
        <w:t>第四部分  附件</w:t>
      </w:r>
      <w:bookmarkEnd w:id="71"/>
    </w:p>
    <w:p w14:paraId="42D17C0F" w14:textId="77777777" w:rsidR="00B85073" w:rsidRDefault="00B85073">
      <w:pPr>
        <w:spacing w:line="572" w:lineRule="exact"/>
        <w:jc w:val="left"/>
        <w:outlineLvl w:val="0"/>
        <w:rPr>
          <w:rFonts w:asciiTheme="minorEastAsia" w:eastAsiaTheme="minorEastAsia" w:hAnsiTheme="minorEastAsia" w:cs="黑体" w:hint="eastAsia"/>
          <w:color w:val="FF0000"/>
          <w:sz w:val="32"/>
          <w:szCs w:val="32"/>
        </w:rPr>
      </w:pPr>
    </w:p>
    <w:p w14:paraId="79912F1A" w14:textId="77777777" w:rsidR="00B85073" w:rsidRDefault="00000000">
      <w:pPr>
        <w:spacing w:line="572" w:lineRule="exact"/>
        <w:jc w:val="left"/>
        <w:outlineLvl w:val="0"/>
        <w:rPr>
          <w:rFonts w:asciiTheme="minorEastAsia" w:eastAsiaTheme="minorEastAsia" w:hAnsiTheme="minorEastAsia" w:cs="仿宋_GB2312" w:hint="eastAsia"/>
          <w:kern w:val="0"/>
          <w:sz w:val="32"/>
          <w:szCs w:val="32"/>
        </w:rPr>
      </w:pPr>
      <w:bookmarkStart w:id="72" w:name="_Toc210112710"/>
      <w:r>
        <w:rPr>
          <w:rFonts w:asciiTheme="minorEastAsia" w:eastAsiaTheme="minorEastAsia" w:hAnsiTheme="minorEastAsia" w:cs="黑体" w:hint="eastAsia"/>
          <w:sz w:val="32"/>
          <w:szCs w:val="32"/>
        </w:rPr>
        <w:t>部门预算项目支出绩效自评表（2024年度）</w:t>
      </w:r>
      <w:bookmarkEnd w:id="72"/>
    </w:p>
    <w:p w14:paraId="51C8FF9D" w14:textId="77777777" w:rsidR="00B85073" w:rsidRDefault="00000000">
      <w:pPr>
        <w:spacing w:line="578" w:lineRule="exact"/>
        <w:rPr>
          <w:rFonts w:asciiTheme="minorEastAsia" w:eastAsiaTheme="minorEastAsia" w:hAnsiTheme="minorEastAsia" w:cs="仿宋_GB2312" w:hint="eastAsia"/>
          <w:kern w:val="0"/>
          <w:sz w:val="32"/>
          <w:szCs w:val="32"/>
        </w:rPr>
      </w:pPr>
      <w:bookmarkStart w:id="73" w:name="_Toc15396618"/>
      <w:r>
        <w:rPr>
          <w:rFonts w:asciiTheme="minorEastAsia" w:eastAsiaTheme="minorEastAsia" w:hAnsiTheme="minorEastAsia" w:cs="仿宋_GB2312" w:hint="eastAsia"/>
          <w:kern w:val="0"/>
          <w:sz w:val="32"/>
          <w:szCs w:val="32"/>
        </w:rPr>
        <w:br w:type="page"/>
      </w:r>
    </w:p>
    <w:p w14:paraId="27031DF3" w14:textId="77777777" w:rsidR="00B85073" w:rsidRDefault="00000000">
      <w:pPr>
        <w:widowControl/>
        <w:jc w:val="center"/>
        <w:rPr>
          <w:rFonts w:asciiTheme="minorEastAsia" w:eastAsiaTheme="minorEastAsia" w:hAnsiTheme="minorEastAsia" w:hint="eastAsia"/>
        </w:rPr>
      </w:pPr>
      <w:r>
        <w:rPr>
          <w:rFonts w:asciiTheme="minorEastAsia" w:eastAsiaTheme="minorEastAsia" w:hAnsiTheme="minorEastAsia" w:hint="eastAsia"/>
          <w:sz w:val="44"/>
          <w:szCs w:val="44"/>
        </w:rPr>
        <w:lastRenderedPageBreak/>
        <w:t>第</w:t>
      </w:r>
      <w:r>
        <w:rPr>
          <w:rStyle w:val="10"/>
          <w:rFonts w:asciiTheme="minorEastAsia" w:eastAsiaTheme="minorEastAsia" w:hAnsiTheme="minorEastAsia" w:hint="eastAsia"/>
          <w:b w:val="0"/>
        </w:rPr>
        <w:t>五部分 附表</w:t>
      </w:r>
      <w:bookmarkStart w:id="74" w:name="_Toc15396619"/>
      <w:bookmarkEnd w:id="70"/>
      <w:bookmarkEnd w:id="73"/>
    </w:p>
    <w:p w14:paraId="3DA0CD0B" w14:textId="77777777" w:rsidR="00B85073" w:rsidRDefault="00B85073">
      <w:pPr>
        <w:pStyle w:val="TOC2"/>
        <w:adjustRightInd w:val="0"/>
        <w:snapToGrid w:val="0"/>
        <w:spacing w:line="560" w:lineRule="exact"/>
        <w:jc w:val="left"/>
        <w:rPr>
          <w:rFonts w:asciiTheme="minorEastAsia" w:eastAsiaTheme="minorEastAsia" w:hAnsiTheme="minorEastAsia" w:cs="仿宋_GB2312" w:hint="eastAsia"/>
          <w:sz w:val="32"/>
          <w:szCs w:val="32"/>
        </w:rPr>
      </w:pPr>
    </w:p>
    <w:p w14:paraId="5CE6E9B3" w14:textId="77777777" w:rsidR="00B85073" w:rsidRDefault="00000000">
      <w:pPr>
        <w:pStyle w:val="TOC2"/>
        <w:adjustRightInd w:val="0"/>
        <w:snapToGrid w:val="0"/>
        <w:spacing w:line="560" w:lineRule="exact"/>
        <w:jc w:val="left"/>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sz w:val="32"/>
          <w:szCs w:val="32"/>
        </w:rPr>
        <w:t>一、收入支出决算总表</w:t>
      </w:r>
      <w:bookmarkEnd w:id="74"/>
    </w:p>
    <w:p w14:paraId="21A0558A" w14:textId="77777777" w:rsidR="00B85073" w:rsidRDefault="00000000">
      <w:pPr>
        <w:pStyle w:val="TOC2"/>
        <w:adjustRightInd w:val="0"/>
        <w:snapToGrid w:val="0"/>
        <w:spacing w:line="560" w:lineRule="exact"/>
        <w:jc w:val="left"/>
        <w:rPr>
          <w:rFonts w:asciiTheme="minorEastAsia" w:eastAsiaTheme="minorEastAsia" w:hAnsiTheme="minorEastAsia" w:cs="仿宋_GB2312" w:hint="eastAsia"/>
          <w:sz w:val="32"/>
          <w:szCs w:val="32"/>
        </w:rPr>
      </w:pPr>
      <w:bookmarkStart w:id="75" w:name="_Toc15396620"/>
      <w:r>
        <w:rPr>
          <w:rFonts w:asciiTheme="minorEastAsia" w:eastAsiaTheme="minorEastAsia" w:hAnsiTheme="minorEastAsia" w:cs="仿宋_GB2312" w:hint="eastAsia"/>
          <w:sz w:val="32"/>
          <w:szCs w:val="32"/>
        </w:rPr>
        <w:t>二、收入决算表</w:t>
      </w:r>
      <w:bookmarkEnd w:id="75"/>
    </w:p>
    <w:p w14:paraId="1EFE5CFC" w14:textId="77777777" w:rsidR="00B85073" w:rsidRDefault="00000000">
      <w:pPr>
        <w:pStyle w:val="TOC2"/>
        <w:adjustRightInd w:val="0"/>
        <w:snapToGrid w:val="0"/>
        <w:spacing w:line="560" w:lineRule="exact"/>
        <w:jc w:val="left"/>
        <w:rPr>
          <w:rFonts w:asciiTheme="minorEastAsia" w:eastAsiaTheme="minorEastAsia" w:hAnsiTheme="minorEastAsia" w:cs="仿宋_GB2312" w:hint="eastAsia"/>
          <w:sz w:val="32"/>
          <w:szCs w:val="32"/>
        </w:rPr>
      </w:pPr>
      <w:bookmarkStart w:id="76" w:name="_Toc15396621"/>
      <w:r>
        <w:rPr>
          <w:rFonts w:asciiTheme="minorEastAsia" w:eastAsiaTheme="minorEastAsia" w:hAnsiTheme="minorEastAsia" w:cs="仿宋_GB2312" w:hint="eastAsia"/>
          <w:sz w:val="32"/>
          <w:szCs w:val="32"/>
        </w:rPr>
        <w:t>三、支出决算表</w:t>
      </w:r>
      <w:bookmarkEnd w:id="76"/>
    </w:p>
    <w:p w14:paraId="1F41FED3" w14:textId="77777777" w:rsidR="00B85073" w:rsidRDefault="00000000">
      <w:pPr>
        <w:pStyle w:val="TOC2"/>
        <w:adjustRightInd w:val="0"/>
        <w:snapToGrid w:val="0"/>
        <w:spacing w:line="560" w:lineRule="exact"/>
        <w:jc w:val="left"/>
        <w:rPr>
          <w:rFonts w:asciiTheme="minorEastAsia" w:eastAsiaTheme="minorEastAsia" w:hAnsiTheme="minorEastAsia" w:cs="仿宋_GB2312" w:hint="eastAsia"/>
          <w:sz w:val="32"/>
          <w:szCs w:val="32"/>
        </w:rPr>
      </w:pPr>
      <w:bookmarkStart w:id="77" w:name="_Toc15396622"/>
      <w:r>
        <w:rPr>
          <w:rFonts w:asciiTheme="minorEastAsia" w:eastAsiaTheme="minorEastAsia" w:hAnsiTheme="minorEastAsia" w:cs="仿宋_GB2312" w:hint="eastAsia"/>
          <w:sz w:val="32"/>
          <w:szCs w:val="32"/>
        </w:rPr>
        <w:t>四、财政拨款收入支出决算总表</w:t>
      </w:r>
      <w:bookmarkEnd w:id="77"/>
    </w:p>
    <w:p w14:paraId="41D99EDF" w14:textId="77777777" w:rsidR="00B85073" w:rsidRDefault="00000000">
      <w:pPr>
        <w:pStyle w:val="TOC2"/>
        <w:adjustRightInd w:val="0"/>
        <w:snapToGrid w:val="0"/>
        <w:spacing w:line="560" w:lineRule="exact"/>
        <w:jc w:val="left"/>
        <w:rPr>
          <w:rFonts w:asciiTheme="minorEastAsia" w:eastAsiaTheme="minorEastAsia" w:hAnsiTheme="minorEastAsia" w:cs="仿宋_GB2312" w:hint="eastAsia"/>
          <w:sz w:val="32"/>
          <w:szCs w:val="32"/>
        </w:rPr>
      </w:pPr>
      <w:bookmarkStart w:id="78" w:name="_Toc15396623"/>
      <w:r>
        <w:rPr>
          <w:rFonts w:asciiTheme="minorEastAsia" w:eastAsiaTheme="minorEastAsia" w:hAnsiTheme="minorEastAsia" w:cs="仿宋_GB2312" w:hint="eastAsia"/>
          <w:sz w:val="32"/>
          <w:szCs w:val="32"/>
        </w:rPr>
        <w:t>五、财政拨款支出决算明细表</w:t>
      </w:r>
      <w:bookmarkStart w:id="79" w:name="_Toc15396624"/>
      <w:bookmarkEnd w:id="78"/>
    </w:p>
    <w:p w14:paraId="54B0B005" w14:textId="77777777" w:rsidR="00B85073" w:rsidRDefault="00000000">
      <w:pPr>
        <w:pStyle w:val="TOC2"/>
        <w:adjustRightInd w:val="0"/>
        <w:snapToGrid w:val="0"/>
        <w:spacing w:line="560" w:lineRule="exact"/>
        <w:jc w:val="left"/>
        <w:rPr>
          <w:rFonts w:asciiTheme="minorEastAsia" w:eastAsiaTheme="minorEastAsia" w:hAnsiTheme="minorEastAsia" w:cs="仿宋_GB2312" w:hint="eastAsia"/>
          <w:sz w:val="32"/>
          <w:szCs w:val="32"/>
        </w:rPr>
      </w:pPr>
      <w:r>
        <w:rPr>
          <w:rFonts w:asciiTheme="minorEastAsia" w:eastAsiaTheme="minorEastAsia" w:hAnsiTheme="minorEastAsia" w:cs="仿宋_GB2312" w:hint="eastAsia"/>
          <w:sz w:val="32"/>
          <w:szCs w:val="32"/>
        </w:rPr>
        <w:t>六、一般公共预算财政拨款支出决算表</w:t>
      </w:r>
      <w:bookmarkEnd w:id="79"/>
    </w:p>
    <w:p w14:paraId="195D95F2" w14:textId="77777777" w:rsidR="00B85073" w:rsidRDefault="00000000">
      <w:pPr>
        <w:pStyle w:val="TOC2"/>
        <w:adjustRightInd w:val="0"/>
        <w:snapToGrid w:val="0"/>
        <w:spacing w:line="560" w:lineRule="exact"/>
        <w:jc w:val="left"/>
        <w:rPr>
          <w:rFonts w:asciiTheme="minorEastAsia" w:eastAsiaTheme="minorEastAsia" w:hAnsiTheme="minorEastAsia" w:cs="仿宋_GB2312" w:hint="eastAsia"/>
          <w:sz w:val="32"/>
          <w:szCs w:val="32"/>
        </w:rPr>
      </w:pPr>
      <w:bookmarkStart w:id="80" w:name="_Toc15396625"/>
      <w:r>
        <w:rPr>
          <w:rFonts w:asciiTheme="minorEastAsia" w:eastAsiaTheme="minorEastAsia" w:hAnsiTheme="minorEastAsia" w:cs="仿宋_GB2312" w:hint="eastAsia"/>
          <w:sz w:val="32"/>
          <w:szCs w:val="32"/>
        </w:rPr>
        <w:t>七、一般公共预算财政拨款支出决算明细表</w:t>
      </w:r>
      <w:bookmarkEnd w:id="80"/>
    </w:p>
    <w:p w14:paraId="364E2E7F" w14:textId="77777777" w:rsidR="00B85073" w:rsidRDefault="00000000">
      <w:pPr>
        <w:pStyle w:val="TOC2"/>
        <w:adjustRightInd w:val="0"/>
        <w:snapToGrid w:val="0"/>
        <w:spacing w:line="560" w:lineRule="exact"/>
        <w:jc w:val="left"/>
        <w:rPr>
          <w:rFonts w:asciiTheme="minorEastAsia" w:eastAsiaTheme="minorEastAsia" w:hAnsiTheme="minorEastAsia" w:cs="仿宋_GB2312" w:hint="eastAsia"/>
          <w:sz w:val="32"/>
          <w:szCs w:val="32"/>
        </w:rPr>
      </w:pPr>
      <w:bookmarkStart w:id="81" w:name="_Toc15396626"/>
      <w:r>
        <w:rPr>
          <w:rFonts w:asciiTheme="minorEastAsia" w:eastAsiaTheme="minorEastAsia" w:hAnsiTheme="minorEastAsia" w:cs="仿宋_GB2312" w:hint="eastAsia"/>
          <w:sz w:val="32"/>
          <w:szCs w:val="32"/>
        </w:rPr>
        <w:t>八、一般公共预算财政拨款基本支出决算表</w:t>
      </w:r>
      <w:bookmarkEnd w:id="81"/>
    </w:p>
    <w:p w14:paraId="705A7FD9" w14:textId="77777777" w:rsidR="00B85073" w:rsidRDefault="00000000">
      <w:pPr>
        <w:pStyle w:val="TOC2"/>
        <w:adjustRightInd w:val="0"/>
        <w:snapToGrid w:val="0"/>
        <w:spacing w:line="560" w:lineRule="exact"/>
        <w:jc w:val="left"/>
        <w:rPr>
          <w:rFonts w:asciiTheme="minorEastAsia" w:eastAsiaTheme="minorEastAsia" w:hAnsiTheme="minorEastAsia" w:cs="仿宋_GB2312" w:hint="eastAsia"/>
          <w:sz w:val="32"/>
          <w:szCs w:val="32"/>
        </w:rPr>
      </w:pPr>
      <w:bookmarkStart w:id="82" w:name="_Toc15396627"/>
      <w:r>
        <w:rPr>
          <w:rFonts w:asciiTheme="minorEastAsia" w:eastAsiaTheme="minorEastAsia" w:hAnsiTheme="minorEastAsia" w:cs="仿宋_GB2312" w:hint="eastAsia"/>
          <w:sz w:val="32"/>
          <w:szCs w:val="32"/>
        </w:rPr>
        <w:t>九、一般公共预算财政拨款项目支出决算表</w:t>
      </w:r>
      <w:bookmarkEnd w:id="82"/>
    </w:p>
    <w:p w14:paraId="5AE78D22" w14:textId="77777777" w:rsidR="00B85073" w:rsidRDefault="00000000">
      <w:pPr>
        <w:pStyle w:val="TOC2"/>
        <w:adjustRightInd w:val="0"/>
        <w:snapToGrid w:val="0"/>
        <w:spacing w:line="560" w:lineRule="exact"/>
        <w:jc w:val="left"/>
        <w:rPr>
          <w:rFonts w:asciiTheme="minorEastAsia" w:eastAsiaTheme="minorEastAsia" w:hAnsiTheme="minorEastAsia" w:cs="仿宋_GB2312" w:hint="eastAsia"/>
          <w:sz w:val="32"/>
          <w:szCs w:val="32"/>
        </w:rPr>
      </w:pPr>
      <w:bookmarkStart w:id="83" w:name="_Toc15396628"/>
      <w:r>
        <w:rPr>
          <w:rFonts w:asciiTheme="minorEastAsia" w:eastAsiaTheme="minorEastAsia" w:hAnsiTheme="minorEastAsia" w:cs="仿宋_GB2312" w:hint="eastAsia"/>
          <w:sz w:val="32"/>
          <w:szCs w:val="32"/>
        </w:rPr>
        <w:t>十、</w:t>
      </w:r>
      <w:bookmarkEnd w:id="83"/>
      <w:r>
        <w:rPr>
          <w:rFonts w:asciiTheme="minorEastAsia" w:eastAsiaTheme="minorEastAsia" w:hAnsiTheme="minorEastAsia" w:cs="仿宋_GB2312" w:hint="eastAsia"/>
          <w:sz w:val="32"/>
          <w:szCs w:val="32"/>
        </w:rPr>
        <w:t>政府性基金预算财政拨款收入支出决算表</w:t>
      </w:r>
    </w:p>
    <w:p w14:paraId="001E4160" w14:textId="77777777" w:rsidR="00B85073" w:rsidRDefault="00000000">
      <w:pPr>
        <w:pStyle w:val="TOC2"/>
        <w:adjustRightInd w:val="0"/>
        <w:snapToGrid w:val="0"/>
        <w:spacing w:line="560" w:lineRule="exact"/>
        <w:jc w:val="left"/>
        <w:rPr>
          <w:rFonts w:asciiTheme="minorEastAsia" w:eastAsiaTheme="minorEastAsia" w:hAnsiTheme="minorEastAsia" w:cs="仿宋_GB2312" w:hint="eastAsia"/>
          <w:sz w:val="32"/>
          <w:szCs w:val="32"/>
        </w:rPr>
      </w:pPr>
      <w:bookmarkStart w:id="84" w:name="_Toc15396629"/>
      <w:r>
        <w:rPr>
          <w:rFonts w:asciiTheme="minorEastAsia" w:eastAsiaTheme="minorEastAsia" w:hAnsiTheme="minorEastAsia" w:cs="仿宋_GB2312" w:hint="eastAsia"/>
          <w:sz w:val="32"/>
          <w:szCs w:val="32"/>
        </w:rPr>
        <w:t>十一、</w:t>
      </w:r>
      <w:bookmarkEnd w:id="84"/>
      <w:r>
        <w:rPr>
          <w:rFonts w:asciiTheme="minorEastAsia" w:eastAsiaTheme="minorEastAsia" w:hAnsiTheme="minorEastAsia" w:cs="仿宋_GB2312" w:hint="eastAsia"/>
          <w:sz w:val="32"/>
          <w:szCs w:val="32"/>
        </w:rPr>
        <w:t>国有资本经营预算财政拨款收入支出决算表</w:t>
      </w:r>
    </w:p>
    <w:p w14:paraId="23BEA232" w14:textId="77777777" w:rsidR="00B85073" w:rsidRDefault="00000000">
      <w:pPr>
        <w:pStyle w:val="TOC2"/>
        <w:adjustRightInd w:val="0"/>
        <w:snapToGrid w:val="0"/>
        <w:spacing w:line="560" w:lineRule="exact"/>
        <w:jc w:val="left"/>
        <w:rPr>
          <w:rFonts w:asciiTheme="minorEastAsia" w:eastAsiaTheme="minorEastAsia" w:hAnsiTheme="minorEastAsia" w:cs="仿宋_GB2312" w:hint="eastAsia"/>
          <w:sz w:val="32"/>
          <w:szCs w:val="32"/>
        </w:rPr>
      </w:pPr>
      <w:bookmarkStart w:id="85" w:name="_Toc15396630"/>
      <w:r>
        <w:rPr>
          <w:rFonts w:asciiTheme="minorEastAsia" w:eastAsiaTheme="minorEastAsia" w:hAnsiTheme="minorEastAsia" w:cs="仿宋_GB2312" w:hint="eastAsia"/>
          <w:sz w:val="32"/>
          <w:szCs w:val="32"/>
        </w:rPr>
        <w:t>十二、</w:t>
      </w:r>
      <w:bookmarkEnd w:id="85"/>
      <w:r>
        <w:rPr>
          <w:rFonts w:asciiTheme="minorEastAsia" w:eastAsiaTheme="minorEastAsia" w:hAnsiTheme="minorEastAsia" w:cs="仿宋_GB2312" w:hint="eastAsia"/>
          <w:sz w:val="32"/>
          <w:szCs w:val="32"/>
        </w:rPr>
        <w:t>国有资本经营预算财政拨款支出决算表</w:t>
      </w:r>
    </w:p>
    <w:p w14:paraId="636112FB" w14:textId="77777777" w:rsidR="00B85073" w:rsidRDefault="00000000">
      <w:pPr>
        <w:pStyle w:val="TOC2"/>
        <w:adjustRightInd w:val="0"/>
        <w:snapToGrid w:val="0"/>
        <w:spacing w:line="560" w:lineRule="exact"/>
        <w:jc w:val="left"/>
        <w:rPr>
          <w:rFonts w:asciiTheme="minorEastAsia" w:eastAsiaTheme="minorEastAsia" w:hAnsiTheme="minorEastAsia" w:cs="仿宋_GB2312" w:hint="eastAsia"/>
          <w:sz w:val="32"/>
          <w:szCs w:val="32"/>
        </w:rPr>
      </w:pPr>
      <w:bookmarkStart w:id="86" w:name="_Toc15396631"/>
      <w:r>
        <w:rPr>
          <w:rFonts w:asciiTheme="minorEastAsia" w:eastAsiaTheme="minorEastAsia" w:hAnsiTheme="minorEastAsia" w:cs="仿宋_GB2312" w:hint="eastAsia"/>
          <w:sz w:val="32"/>
          <w:szCs w:val="32"/>
        </w:rPr>
        <w:t>十三、</w:t>
      </w:r>
      <w:bookmarkEnd w:id="86"/>
      <w:r>
        <w:rPr>
          <w:rFonts w:asciiTheme="minorEastAsia" w:eastAsiaTheme="minorEastAsia" w:hAnsiTheme="minorEastAsia" w:cs="仿宋_GB2312" w:hint="eastAsia"/>
          <w:sz w:val="32"/>
          <w:szCs w:val="32"/>
        </w:rPr>
        <w:t>财政拨款“三公”经费支出决算表</w:t>
      </w:r>
    </w:p>
    <w:sectPr w:rsidR="00B85073">
      <w:footerReference w:type="default" r:id="rId16"/>
      <w:footerReference w:type="first" r:id="rId17"/>
      <w:pgSz w:w="11906" w:h="16838"/>
      <w:pgMar w:top="1440" w:right="1800" w:bottom="1440" w:left="1800" w:header="851" w:footer="992" w:gutter="0"/>
      <w:pgNumType w:fmt="numberInDash"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D9E1E" w14:textId="77777777" w:rsidR="00691132" w:rsidRDefault="00691132">
      <w:r>
        <w:separator/>
      </w:r>
    </w:p>
  </w:endnote>
  <w:endnote w:type="continuationSeparator" w:id="0">
    <w:p w14:paraId="151FE70B" w14:textId="77777777" w:rsidR="00691132" w:rsidRDefault="0069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Segoe Print"/>
    <w:charset w:val="00"/>
    <w:family w:val="roman"/>
    <w:pitch w:val="default"/>
  </w:font>
  <w:font w:name="方正小标宋简体">
    <w:altName w:val="Arial Unicode MS"/>
    <w:charset w:val="86"/>
    <w:family w:val="auto"/>
    <w:pitch w:val="default"/>
    <w:sig w:usb0="00000001" w:usb1="080E0000" w:usb2="00000000" w:usb3="00000000" w:csb0="00040000" w:csb1="00000000"/>
  </w:font>
  <w:font w:name="楷体_GB2312">
    <w:altName w:val="楷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6C046" w14:textId="77777777" w:rsidR="00B85073" w:rsidRDefault="00B85073">
    <w:pPr>
      <w:pStyle w:val="a9"/>
      <w:jc w:val="center"/>
    </w:pPr>
  </w:p>
  <w:p w14:paraId="098B1673" w14:textId="77777777" w:rsidR="00B85073" w:rsidRDefault="00B8507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3640" w14:textId="77777777" w:rsidR="00B85073" w:rsidRDefault="00B85073">
    <w:pPr>
      <w:pStyle w:val="a9"/>
      <w:jc w:val="center"/>
    </w:pPr>
  </w:p>
  <w:p w14:paraId="75AA25B7" w14:textId="77777777" w:rsidR="00B85073" w:rsidRDefault="00B8507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B2BDD" w14:textId="77777777" w:rsidR="00B85073" w:rsidRDefault="00B8507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2E179" w14:textId="77777777" w:rsidR="00691132" w:rsidRDefault="00691132">
      <w:r>
        <w:separator/>
      </w:r>
    </w:p>
  </w:footnote>
  <w:footnote w:type="continuationSeparator" w:id="0">
    <w:p w14:paraId="5A261CF3" w14:textId="77777777" w:rsidR="00691132" w:rsidRDefault="00691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7E5B9" w14:textId="77777777" w:rsidR="00B85073" w:rsidRDefault="00B85073">
    <w:pPr>
      <w:pStyle w:val="ab"/>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361C"/>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 w:val="00002AC0"/>
    <w:rsid w:val="000119CF"/>
    <w:rsid w:val="000222C6"/>
    <w:rsid w:val="00023EAB"/>
    <w:rsid w:val="0002549F"/>
    <w:rsid w:val="000455FE"/>
    <w:rsid w:val="000468DB"/>
    <w:rsid w:val="0005791D"/>
    <w:rsid w:val="00057AF8"/>
    <w:rsid w:val="0006487A"/>
    <w:rsid w:val="00065F8F"/>
    <w:rsid w:val="00070A43"/>
    <w:rsid w:val="000768F2"/>
    <w:rsid w:val="000816CF"/>
    <w:rsid w:val="000878C9"/>
    <w:rsid w:val="0009184B"/>
    <w:rsid w:val="00093F90"/>
    <w:rsid w:val="00094236"/>
    <w:rsid w:val="0009593C"/>
    <w:rsid w:val="00097322"/>
    <w:rsid w:val="000A0923"/>
    <w:rsid w:val="000A658D"/>
    <w:rsid w:val="000A6A80"/>
    <w:rsid w:val="000A6A92"/>
    <w:rsid w:val="000B047F"/>
    <w:rsid w:val="000B5923"/>
    <w:rsid w:val="000B5A48"/>
    <w:rsid w:val="000B6FF3"/>
    <w:rsid w:val="000C3467"/>
    <w:rsid w:val="000C3CA6"/>
    <w:rsid w:val="000C78BE"/>
    <w:rsid w:val="000D1267"/>
    <w:rsid w:val="000D1D50"/>
    <w:rsid w:val="000D5782"/>
    <w:rsid w:val="000E6613"/>
    <w:rsid w:val="000E7119"/>
    <w:rsid w:val="000F1780"/>
    <w:rsid w:val="0010231B"/>
    <w:rsid w:val="00103ECB"/>
    <w:rsid w:val="00113C62"/>
    <w:rsid w:val="00114497"/>
    <w:rsid w:val="00114C70"/>
    <w:rsid w:val="00114E9B"/>
    <w:rsid w:val="001245B0"/>
    <w:rsid w:val="001335AB"/>
    <w:rsid w:val="001406F1"/>
    <w:rsid w:val="00142216"/>
    <w:rsid w:val="00144B57"/>
    <w:rsid w:val="00144D6A"/>
    <w:rsid w:val="0014729F"/>
    <w:rsid w:val="00157BAB"/>
    <w:rsid w:val="001654D1"/>
    <w:rsid w:val="00174518"/>
    <w:rsid w:val="00175CDD"/>
    <w:rsid w:val="0018106D"/>
    <w:rsid w:val="001877A7"/>
    <w:rsid w:val="00191536"/>
    <w:rsid w:val="00196687"/>
    <w:rsid w:val="001B470C"/>
    <w:rsid w:val="001B6083"/>
    <w:rsid w:val="001C0962"/>
    <w:rsid w:val="001C15A0"/>
    <w:rsid w:val="001C295F"/>
    <w:rsid w:val="001D17BC"/>
    <w:rsid w:val="001D7531"/>
    <w:rsid w:val="001E7359"/>
    <w:rsid w:val="001E737D"/>
    <w:rsid w:val="001F0592"/>
    <w:rsid w:val="001F69AF"/>
    <w:rsid w:val="001F7506"/>
    <w:rsid w:val="002006CD"/>
    <w:rsid w:val="00202B36"/>
    <w:rsid w:val="00204B7A"/>
    <w:rsid w:val="00204CDE"/>
    <w:rsid w:val="0021101A"/>
    <w:rsid w:val="00220536"/>
    <w:rsid w:val="00226DEF"/>
    <w:rsid w:val="00232506"/>
    <w:rsid w:val="00235629"/>
    <w:rsid w:val="00235D64"/>
    <w:rsid w:val="00241E4F"/>
    <w:rsid w:val="00244D9A"/>
    <w:rsid w:val="00247D17"/>
    <w:rsid w:val="002541DB"/>
    <w:rsid w:val="00260C38"/>
    <w:rsid w:val="002611E7"/>
    <w:rsid w:val="002616C0"/>
    <w:rsid w:val="00265372"/>
    <w:rsid w:val="002662AA"/>
    <w:rsid w:val="0026717D"/>
    <w:rsid w:val="002756D4"/>
    <w:rsid w:val="00280496"/>
    <w:rsid w:val="00294DC9"/>
    <w:rsid w:val="00295495"/>
    <w:rsid w:val="002A2494"/>
    <w:rsid w:val="002A31DE"/>
    <w:rsid w:val="002A40D0"/>
    <w:rsid w:val="002B2613"/>
    <w:rsid w:val="002D6D05"/>
    <w:rsid w:val="002F1818"/>
    <w:rsid w:val="002F567B"/>
    <w:rsid w:val="0030047E"/>
    <w:rsid w:val="003009A7"/>
    <w:rsid w:val="00300DBD"/>
    <w:rsid w:val="00303860"/>
    <w:rsid w:val="003216A9"/>
    <w:rsid w:val="0032266A"/>
    <w:rsid w:val="00323A2B"/>
    <w:rsid w:val="003250DF"/>
    <w:rsid w:val="0032603B"/>
    <w:rsid w:val="00335A74"/>
    <w:rsid w:val="00352B1A"/>
    <w:rsid w:val="0036561B"/>
    <w:rsid w:val="00366F53"/>
    <w:rsid w:val="0037013F"/>
    <w:rsid w:val="00380C92"/>
    <w:rsid w:val="00387A81"/>
    <w:rsid w:val="00394FF2"/>
    <w:rsid w:val="00396819"/>
    <w:rsid w:val="003A2DEE"/>
    <w:rsid w:val="003A3C35"/>
    <w:rsid w:val="003A484F"/>
    <w:rsid w:val="003A4883"/>
    <w:rsid w:val="003B0BE0"/>
    <w:rsid w:val="003B0C1B"/>
    <w:rsid w:val="003B688C"/>
    <w:rsid w:val="003C0291"/>
    <w:rsid w:val="003C39AE"/>
    <w:rsid w:val="003C7326"/>
    <w:rsid w:val="003C7B60"/>
    <w:rsid w:val="003D0320"/>
    <w:rsid w:val="003D0C0F"/>
    <w:rsid w:val="003D1FB2"/>
    <w:rsid w:val="003D66DA"/>
    <w:rsid w:val="003D7E65"/>
    <w:rsid w:val="003E1310"/>
    <w:rsid w:val="003E6F55"/>
    <w:rsid w:val="003E72CA"/>
    <w:rsid w:val="003F5E3D"/>
    <w:rsid w:val="00406254"/>
    <w:rsid w:val="00407FB0"/>
    <w:rsid w:val="004104B4"/>
    <w:rsid w:val="00410F76"/>
    <w:rsid w:val="004146B1"/>
    <w:rsid w:val="004223DE"/>
    <w:rsid w:val="00434489"/>
    <w:rsid w:val="00437085"/>
    <w:rsid w:val="00441B44"/>
    <w:rsid w:val="00443880"/>
    <w:rsid w:val="00444229"/>
    <w:rsid w:val="004448D8"/>
    <w:rsid w:val="004464F4"/>
    <w:rsid w:val="00455CCB"/>
    <w:rsid w:val="004601CA"/>
    <w:rsid w:val="00463909"/>
    <w:rsid w:val="00471401"/>
    <w:rsid w:val="00473F31"/>
    <w:rsid w:val="0048263A"/>
    <w:rsid w:val="00487E5D"/>
    <w:rsid w:val="00491558"/>
    <w:rsid w:val="00495686"/>
    <w:rsid w:val="004A58A1"/>
    <w:rsid w:val="004A631B"/>
    <w:rsid w:val="004A711F"/>
    <w:rsid w:val="004A7B4A"/>
    <w:rsid w:val="004B199D"/>
    <w:rsid w:val="004B4690"/>
    <w:rsid w:val="004E0A2D"/>
    <w:rsid w:val="004E1598"/>
    <w:rsid w:val="004E206B"/>
    <w:rsid w:val="004E6DF7"/>
    <w:rsid w:val="004F0FBD"/>
    <w:rsid w:val="00500478"/>
    <w:rsid w:val="00505A47"/>
    <w:rsid w:val="00512FDA"/>
    <w:rsid w:val="00514A43"/>
    <w:rsid w:val="00520DA0"/>
    <w:rsid w:val="0054563F"/>
    <w:rsid w:val="005474E7"/>
    <w:rsid w:val="00553CBD"/>
    <w:rsid w:val="005664BB"/>
    <w:rsid w:val="00566FFA"/>
    <w:rsid w:val="00571FE1"/>
    <w:rsid w:val="0057481D"/>
    <w:rsid w:val="0058486E"/>
    <w:rsid w:val="00585B33"/>
    <w:rsid w:val="005873F5"/>
    <w:rsid w:val="0059014D"/>
    <w:rsid w:val="005A0D7C"/>
    <w:rsid w:val="005A7BDE"/>
    <w:rsid w:val="005B3ED6"/>
    <w:rsid w:val="005B581A"/>
    <w:rsid w:val="005B5C64"/>
    <w:rsid w:val="005C5337"/>
    <w:rsid w:val="005C6BD0"/>
    <w:rsid w:val="005D1C8B"/>
    <w:rsid w:val="005D32E2"/>
    <w:rsid w:val="005D468D"/>
    <w:rsid w:val="005D5CED"/>
    <w:rsid w:val="005D791B"/>
    <w:rsid w:val="005E6F6B"/>
    <w:rsid w:val="005F1A4C"/>
    <w:rsid w:val="005F31A0"/>
    <w:rsid w:val="005F7A06"/>
    <w:rsid w:val="00605688"/>
    <w:rsid w:val="006070AF"/>
    <w:rsid w:val="00607E6C"/>
    <w:rsid w:val="006101B1"/>
    <w:rsid w:val="00614E44"/>
    <w:rsid w:val="0062270A"/>
    <w:rsid w:val="00622830"/>
    <w:rsid w:val="00623DA0"/>
    <w:rsid w:val="00625AC2"/>
    <w:rsid w:val="00626556"/>
    <w:rsid w:val="00630AEF"/>
    <w:rsid w:val="006325F8"/>
    <w:rsid w:val="00633332"/>
    <w:rsid w:val="00633463"/>
    <w:rsid w:val="00634C9A"/>
    <w:rsid w:val="0064016E"/>
    <w:rsid w:val="006440E4"/>
    <w:rsid w:val="0066343B"/>
    <w:rsid w:val="00664777"/>
    <w:rsid w:val="0067400A"/>
    <w:rsid w:val="006748A4"/>
    <w:rsid w:val="006767CF"/>
    <w:rsid w:val="00681A31"/>
    <w:rsid w:val="006824EF"/>
    <w:rsid w:val="00682656"/>
    <w:rsid w:val="00683E73"/>
    <w:rsid w:val="00691132"/>
    <w:rsid w:val="00693067"/>
    <w:rsid w:val="006A3141"/>
    <w:rsid w:val="006A3835"/>
    <w:rsid w:val="006A571B"/>
    <w:rsid w:val="006A5E34"/>
    <w:rsid w:val="006B0A3B"/>
    <w:rsid w:val="006B2422"/>
    <w:rsid w:val="006B2B9A"/>
    <w:rsid w:val="006B613C"/>
    <w:rsid w:val="006C1937"/>
    <w:rsid w:val="006E608E"/>
    <w:rsid w:val="006F020C"/>
    <w:rsid w:val="006F1D49"/>
    <w:rsid w:val="006F26E6"/>
    <w:rsid w:val="006F60E3"/>
    <w:rsid w:val="00702A83"/>
    <w:rsid w:val="007127B7"/>
    <w:rsid w:val="0071798E"/>
    <w:rsid w:val="0072698D"/>
    <w:rsid w:val="007416B6"/>
    <w:rsid w:val="00746F48"/>
    <w:rsid w:val="0075404D"/>
    <w:rsid w:val="00755DC3"/>
    <w:rsid w:val="0075780C"/>
    <w:rsid w:val="0076182A"/>
    <w:rsid w:val="00767B7E"/>
    <w:rsid w:val="00772E14"/>
    <w:rsid w:val="0077691F"/>
    <w:rsid w:val="00776DF7"/>
    <w:rsid w:val="007770C3"/>
    <w:rsid w:val="00780962"/>
    <w:rsid w:val="007827E6"/>
    <w:rsid w:val="00784D24"/>
    <w:rsid w:val="00785068"/>
    <w:rsid w:val="00785FBA"/>
    <w:rsid w:val="00786E4A"/>
    <w:rsid w:val="007875EB"/>
    <w:rsid w:val="00787AE3"/>
    <w:rsid w:val="0079426B"/>
    <w:rsid w:val="007A2E3E"/>
    <w:rsid w:val="007A7011"/>
    <w:rsid w:val="007B1E3E"/>
    <w:rsid w:val="007B2AA7"/>
    <w:rsid w:val="007C04B8"/>
    <w:rsid w:val="007C1EFF"/>
    <w:rsid w:val="007D1682"/>
    <w:rsid w:val="007D312A"/>
    <w:rsid w:val="007D3F19"/>
    <w:rsid w:val="007E23B0"/>
    <w:rsid w:val="007E23E5"/>
    <w:rsid w:val="007E495A"/>
    <w:rsid w:val="007F1991"/>
    <w:rsid w:val="007F2C2F"/>
    <w:rsid w:val="007F55FC"/>
    <w:rsid w:val="007F5665"/>
    <w:rsid w:val="00800112"/>
    <w:rsid w:val="00800B4C"/>
    <w:rsid w:val="00813348"/>
    <w:rsid w:val="008235A7"/>
    <w:rsid w:val="008253BB"/>
    <w:rsid w:val="0083706E"/>
    <w:rsid w:val="00837BC3"/>
    <w:rsid w:val="008408F6"/>
    <w:rsid w:val="008423A5"/>
    <w:rsid w:val="00850625"/>
    <w:rsid w:val="00852F63"/>
    <w:rsid w:val="00853718"/>
    <w:rsid w:val="00855221"/>
    <w:rsid w:val="00860645"/>
    <w:rsid w:val="00871F71"/>
    <w:rsid w:val="00872C2F"/>
    <w:rsid w:val="00872FD8"/>
    <w:rsid w:val="008828A6"/>
    <w:rsid w:val="00885AF4"/>
    <w:rsid w:val="008939CD"/>
    <w:rsid w:val="00896A43"/>
    <w:rsid w:val="008A7E16"/>
    <w:rsid w:val="008B768C"/>
    <w:rsid w:val="008B7CF4"/>
    <w:rsid w:val="008C4DB1"/>
    <w:rsid w:val="008C4EAF"/>
    <w:rsid w:val="008C5176"/>
    <w:rsid w:val="008C7FD0"/>
    <w:rsid w:val="008D64C8"/>
    <w:rsid w:val="008E1DE7"/>
    <w:rsid w:val="008E707C"/>
    <w:rsid w:val="008F3D37"/>
    <w:rsid w:val="008F4BE9"/>
    <w:rsid w:val="00900B08"/>
    <w:rsid w:val="00902155"/>
    <w:rsid w:val="00902FA3"/>
    <w:rsid w:val="009065E8"/>
    <w:rsid w:val="00923564"/>
    <w:rsid w:val="0092392E"/>
    <w:rsid w:val="009315F9"/>
    <w:rsid w:val="00933499"/>
    <w:rsid w:val="00935C98"/>
    <w:rsid w:val="00946945"/>
    <w:rsid w:val="00951248"/>
    <w:rsid w:val="0095152F"/>
    <w:rsid w:val="00951D39"/>
    <w:rsid w:val="00954C49"/>
    <w:rsid w:val="00955E37"/>
    <w:rsid w:val="00956A84"/>
    <w:rsid w:val="00967D1F"/>
    <w:rsid w:val="0097099F"/>
    <w:rsid w:val="00971997"/>
    <w:rsid w:val="00971FFC"/>
    <w:rsid w:val="00973D64"/>
    <w:rsid w:val="00974027"/>
    <w:rsid w:val="0098660A"/>
    <w:rsid w:val="00987C41"/>
    <w:rsid w:val="0099026E"/>
    <w:rsid w:val="00992AA2"/>
    <w:rsid w:val="009931C3"/>
    <w:rsid w:val="009B2C43"/>
    <w:rsid w:val="009B4EAE"/>
    <w:rsid w:val="009B6230"/>
    <w:rsid w:val="009B7573"/>
    <w:rsid w:val="009C22F4"/>
    <w:rsid w:val="009C2A4B"/>
    <w:rsid w:val="009C2E98"/>
    <w:rsid w:val="009C4C35"/>
    <w:rsid w:val="009C5EB5"/>
    <w:rsid w:val="009D3447"/>
    <w:rsid w:val="009D4711"/>
    <w:rsid w:val="009E007E"/>
    <w:rsid w:val="009E538E"/>
    <w:rsid w:val="009E6114"/>
    <w:rsid w:val="009F1185"/>
    <w:rsid w:val="009F18CD"/>
    <w:rsid w:val="009F2A13"/>
    <w:rsid w:val="009F7527"/>
    <w:rsid w:val="00A04EB0"/>
    <w:rsid w:val="00A12F37"/>
    <w:rsid w:val="00A13CC1"/>
    <w:rsid w:val="00A16847"/>
    <w:rsid w:val="00A237D8"/>
    <w:rsid w:val="00A268C4"/>
    <w:rsid w:val="00A27539"/>
    <w:rsid w:val="00A307CD"/>
    <w:rsid w:val="00A331C8"/>
    <w:rsid w:val="00A377C2"/>
    <w:rsid w:val="00A40A00"/>
    <w:rsid w:val="00A4142F"/>
    <w:rsid w:val="00A422EB"/>
    <w:rsid w:val="00A45BB7"/>
    <w:rsid w:val="00A52F70"/>
    <w:rsid w:val="00A56DF2"/>
    <w:rsid w:val="00A56E6E"/>
    <w:rsid w:val="00A57D24"/>
    <w:rsid w:val="00A61B38"/>
    <w:rsid w:val="00A67AB5"/>
    <w:rsid w:val="00A7043B"/>
    <w:rsid w:val="00A714B7"/>
    <w:rsid w:val="00A733B2"/>
    <w:rsid w:val="00A741C2"/>
    <w:rsid w:val="00A82AE7"/>
    <w:rsid w:val="00A82F2F"/>
    <w:rsid w:val="00A91760"/>
    <w:rsid w:val="00A93B00"/>
    <w:rsid w:val="00A93C21"/>
    <w:rsid w:val="00A93EE5"/>
    <w:rsid w:val="00AB64C9"/>
    <w:rsid w:val="00AC3C6A"/>
    <w:rsid w:val="00AD1473"/>
    <w:rsid w:val="00AD3456"/>
    <w:rsid w:val="00AD4ECD"/>
    <w:rsid w:val="00AD5233"/>
    <w:rsid w:val="00AD5620"/>
    <w:rsid w:val="00AD656B"/>
    <w:rsid w:val="00AD7C1B"/>
    <w:rsid w:val="00AE0B9D"/>
    <w:rsid w:val="00AE16BA"/>
    <w:rsid w:val="00AE1EBE"/>
    <w:rsid w:val="00AE5AAB"/>
    <w:rsid w:val="00AE6134"/>
    <w:rsid w:val="00AE6CF8"/>
    <w:rsid w:val="00B03C9C"/>
    <w:rsid w:val="00B03C9D"/>
    <w:rsid w:val="00B060AE"/>
    <w:rsid w:val="00B10517"/>
    <w:rsid w:val="00B13D22"/>
    <w:rsid w:val="00B14E76"/>
    <w:rsid w:val="00B161B8"/>
    <w:rsid w:val="00B1761A"/>
    <w:rsid w:val="00B2048C"/>
    <w:rsid w:val="00B310B9"/>
    <w:rsid w:val="00B35F3F"/>
    <w:rsid w:val="00B36CBB"/>
    <w:rsid w:val="00B425E0"/>
    <w:rsid w:val="00B440AA"/>
    <w:rsid w:val="00B44B70"/>
    <w:rsid w:val="00B53C56"/>
    <w:rsid w:val="00B57DAF"/>
    <w:rsid w:val="00B7308C"/>
    <w:rsid w:val="00B732F6"/>
    <w:rsid w:val="00B75E0F"/>
    <w:rsid w:val="00B77EA6"/>
    <w:rsid w:val="00B81598"/>
    <w:rsid w:val="00B841F1"/>
    <w:rsid w:val="00B85073"/>
    <w:rsid w:val="00B935DC"/>
    <w:rsid w:val="00B944D6"/>
    <w:rsid w:val="00BA16E5"/>
    <w:rsid w:val="00BB346D"/>
    <w:rsid w:val="00BB3FE1"/>
    <w:rsid w:val="00BB4DF0"/>
    <w:rsid w:val="00BC289F"/>
    <w:rsid w:val="00BC2D50"/>
    <w:rsid w:val="00BC5361"/>
    <w:rsid w:val="00BC5460"/>
    <w:rsid w:val="00BC6B50"/>
    <w:rsid w:val="00BD0E25"/>
    <w:rsid w:val="00BD5C1B"/>
    <w:rsid w:val="00BE78F9"/>
    <w:rsid w:val="00BF0185"/>
    <w:rsid w:val="00BF5BD6"/>
    <w:rsid w:val="00C02A28"/>
    <w:rsid w:val="00C03E31"/>
    <w:rsid w:val="00C1694A"/>
    <w:rsid w:val="00C31468"/>
    <w:rsid w:val="00C33E72"/>
    <w:rsid w:val="00C354B2"/>
    <w:rsid w:val="00C35554"/>
    <w:rsid w:val="00C42709"/>
    <w:rsid w:val="00C4543C"/>
    <w:rsid w:val="00C47FC0"/>
    <w:rsid w:val="00C533CC"/>
    <w:rsid w:val="00C5751C"/>
    <w:rsid w:val="00C617CE"/>
    <w:rsid w:val="00C61BFC"/>
    <w:rsid w:val="00C62B85"/>
    <w:rsid w:val="00C65438"/>
    <w:rsid w:val="00C70C99"/>
    <w:rsid w:val="00C7534B"/>
    <w:rsid w:val="00C75C3F"/>
    <w:rsid w:val="00C82DFA"/>
    <w:rsid w:val="00C87FD8"/>
    <w:rsid w:val="00C91381"/>
    <w:rsid w:val="00C91CBB"/>
    <w:rsid w:val="00CB4E70"/>
    <w:rsid w:val="00CB531D"/>
    <w:rsid w:val="00CC09B6"/>
    <w:rsid w:val="00CC666F"/>
    <w:rsid w:val="00CD1E3F"/>
    <w:rsid w:val="00CD5D17"/>
    <w:rsid w:val="00CE44F6"/>
    <w:rsid w:val="00CE49DA"/>
    <w:rsid w:val="00CE7B61"/>
    <w:rsid w:val="00CF2046"/>
    <w:rsid w:val="00D00095"/>
    <w:rsid w:val="00D048E9"/>
    <w:rsid w:val="00D0566E"/>
    <w:rsid w:val="00D114F0"/>
    <w:rsid w:val="00D20620"/>
    <w:rsid w:val="00D21917"/>
    <w:rsid w:val="00D254F7"/>
    <w:rsid w:val="00D26091"/>
    <w:rsid w:val="00D2685C"/>
    <w:rsid w:val="00D34E7C"/>
    <w:rsid w:val="00D35489"/>
    <w:rsid w:val="00D36AFE"/>
    <w:rsid w:val="00D40673"/>
    <w:rsid w:val="00D51276"/>
    <w:rsid w:val="00D5282C"/>
    <w:rsid w:val="00D7035F"/>
    <w:rsid w:val="00D844B3"/>
    <w:rsid w:val="00D92C53"/>
    <w:rsid w:val="00D92C94"/>
    <w:rsid w:val="00DA310E"/>
    <w:rsid w:val="00DA5F02"/>
    <w:rsid w:val="00DA634F"/>
    <w:rsid w:val="00DA65AC"/>
    <w:rsid w:val="00DB1913"/>
    <w:rsid w:val="00DB506C"/>
    <w:rsid w:val="00DB7322"/>
    <w:rsid w:val="00DC1859"/>
    <w:rsid w:val="00DC410D"/>
    <w:rsid w:val="00DC5A81"/>
    <w:rsid w:val="00DC68CA"/>
    <w:rsid w:val="00DC7CBA"/>
    <w:rsid w:val="00DD73B7"/>
    <w:rsid w:val="00DE7296"/>
    <w:rsid w:val="00DF191A"/>
    <w:rsid w:val="00DF28BC"/>
    <w:rsid w:val="00DF34B9"/>
    <w:rsid w:val="00DF7294"/>
    <w:rsid w:val="00E01053"/>
    <w:rsid w:val="00E07ACF"/>
    <w:rsid w:val="00E230C9"/>
    <w:rsid w:val="00E331A1"/>
    <w:rsid w:val="00E33202"/>
    <w:rsid w:val="00E336A9"/>
    <w:rsid w:val="00E34F15"/>
    <w:rsid w:val="00E40667"/>
    <w:rsid w:val="00E419AC"/>
    <w:rsid w:val="00E472B1"/>
    <w:rsid w:val="00E50624"/>
    <w:rsid w:val="00E53C28"/>
    <w:rsid w:val="00E54633"/>
    <w:rsid w:val="00E568DF"/>
    <w:rsid w:val="00E62283"/>
    <w:rsid w:val="00E64269"/>
    <w:rsid w:val="00E82267"/>
    <w:rsid w:val="00E84AFE"/>
    <w:rsid w:val="00E853CE"/>
    <w:rsid w:val="00E867B6"/>
    <w:rsid w:val="00E94100"/>
    <w:rsid w:val="00EA010F"/>
    <w:rsid w:val="00EA75CD"/>
    <w:rsid w:val="00EB75CF"/>
    <w:rsid w:val="00EC252A"/>
    <w:rsid w:val="00EC3361"/>
    <w:rsid w:val="00ED1B63"/>
    <w:rsid w:val="00ED3C1F"/>
    <w:rsid w:val="00ED4085"/>
    <w:rsid w:val="00ED420E"/>
    <w:rsid w:val="00ED6FBE"/>
    <w:rsid w:val="00ED765E"/>
    <w:rsid w:val="00EE2F57"/>
    <w:rsid w:val="00EE31C5"/>
    <w:rsid w:val="00EE6AF4"/>
    <w:rsid w:val="00EF4C34"/>
    <w:rsid w:val="00EF77C6"/>
    <w:rsid w:val="00F0395A"/>
    <w:rsid w:val="00F05438"/>
    <w:rsid w:val="00F10579"/>
    <w:rsid w:val="00F1361C"/>
    <w:rsid w:val="00F156F0"/>
    <w:rsid w:val="00F160C7"/>
    <w:rsid w:val="00F216C5"/>
    <w:rsid w:val="00F21790"/>
    <w:rsid w:val="00F2408F"/>
    <w:rsid w:val="00F240E9"/>
    <w:rsid w:val="00F36D8F"/>
    <w:rsid w:val="00F378FA"/>
    <w:rsid w:val="00F417B1"/>
    <w:rsid w:val="00F4476E"/>
    <w:rsid w:val="00F45853"/>
    <w:rsid w:val="00F57029"/>
    <w:rsid w:val="00F602DF"/>
    <w:rsid w:val="00F754A1"/>
    <w:rsid w:val="00F81DCD"/>
    <w:rsid w:val="00F81FD9"/>
    <w:rsid w:val="00F82FFB"/>
    <w:rsid w:val="00F841AA"/>
    <w:rsid w:val="00F84A94"/>
    <w:rsid w:val="00F86A0E"/>
    <w:rsid w:val="00F875D3"/>
    <w:rsid w:val="00F87E96"/>
    <w:rsid w:val="00F978F9"/>
    <w:rsid w:val="00FA23E8"/>
    <w:rsid w:val="00FB25F8"/>
    <w:rsid w:val="00FC07F5"/>
    <w:rsid w:val="00FD3CC1"/>
    <w:rsid w:val="00FD7D17"/>
    <w:rsid w:val="00FE5737"/>
    <w:rsid w:val="00FF1E02"/>
    <w:rsid w:val="00FF30B4"/>
    <w:rsid w:val="012A5EC2"/>
    <w:rsid w:val="015975B8"/>
    <w:rsid w:val="02FEBE30"/>
    <w:rsid w:val="04916F1E"/>
    <w:rsid w:val="061E35DE"/>
    <w:rsid w:val="066E0107"/>
    <w:rsid w:val="07996F6E"/>
    <w:rsid w:val="07DFD8BA"/>
    <w:rsid w:val="09867E8F"/>
    <w:rsid w:val="0A2032A3"/>
    <w:rsid w:val="0CA8290A"/>
    <w:rsid w:val="0D35B1ED"/>
    <w:rsid w:val="0D804980"/>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CC6347C"/>
    <w:rsid w:val="1D155CEE"/>
    <w:rsid w:val="1D1638FE"/>
    <w:rsid w:val="1E312DEB"/>
    <w:rsid w:val="1E740ACF"/>
    <w:rsid w:val="1FF35744"/>
    <w:rsid w:val="1FF6BC77"/>
    <w:rsid w:val="2186353C"/>
    <w:rsid w:val="23860B96"/>
    <w:rsid w:val="240371BF"/>
    <w:rsid w:val="244F3473"/>
    <w:rsid w:val="24C97D99"/>
    <w:rsid w:val="25A718F0"/>
    <w:rsid w:val="25BB59F6"/>
    <w:rsid w:val="260F557C"/>
    <w:rsid w:val="26970054"/>
    <w:rsid w:val="281408E2"/>
    <w:rsid w:val="29FD04D3"/>
    <w:rsid w:val="2AB91311"/>
    <w:rsid w:val="2BFF7BC6"/>
    <w:rsid w:val="2C30340B"/>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CEC4F1C"/>
    <w:rsid w:val="3D98207C"/>
    <w:rsid w:val="3DEE7CF3"/>
    <w:rsid w:val="3E740A63"/>
    <w:rsid w:val="3E78745D"/>
    <w:rsid w:val="3EE17838"/>
    <w:rsid w:val="3F55381A"/>
    <w:rsid w:val="3F7F7599"/>
    <w:rsid w:val="3FF4CAE0"/>
    <w:rsid w:val="3FF7B227"/>
    <w:rsid w:val="44E268DA"/>
    <w:rsid w:val="450D13D7"/>
    <w:rsid w:val="45506656"/>
    <w:rsid w:val="486A6C7A"/>
    <w:rsid w:val="4A627F82"/>
    <w:rsid w:val="4B0E749A"/>
    <w:rsid w:val="4B2477C4"/>
    <w:rsid w:val="4B4F25DA"/>
    <w:rsid w:val="4BE068DB"/>
    <w:rsid w:val="4C0B44E0"/>
    <w:rsid w:val="4D577224"/>
    <w:rsid w:val="4DBF1CEB"/>
    <w:rsid w:val="4DF0007C"/>
    <w:rsid w:val="4EAB630A"/>
    <w:rsid w:val="4ECE2238"/>
    <w:rsid w:val="4F833267"/>
    <w:rsid w:val="4FE9BD67"/>
    <w:rsid w:val="4FFB052F"/>
    <w:rsid w:val="537E6D0A"/>
    <w:rsid w:val="53F74C96"/>
    <w:rsid w:val="55170BA8"/>
    <w:rsid w:val="553218C9"/>
    <w:rsid w:val="567E1AA5"/>
    <w:rsid w:val="56E47B74"/>
    <w:rsid w:val="57175D52"/>
    <w:rsid w:val="57BD3DD4"/>
    <w:rsid w:val="5AF92295"/>
    <w:rsid w:val="5B250254"/>
    <w:rsid w:val="5BDD79E6"/>
    <w:rsid w:val="5BF561CA"/>
    <w:rsid w:val="5BFF5DFC"/>
    <w:rsid w:val="5CD71FC4"/>
    <w:rsid w:val="5D1F11B5"/>
    <w:rsid w:val="5D695134"/>
    <w:rsid w:val="5DAE1B18"/>
    <w:rsid w:val="5DE7D9E5"/>
    <w:rsid w:val="5E4028B4"/>
    <w:rsid w:val="5ECEC941"/>
    <w:rsid w:val="5FBF9FF3"/>
    <w:rsid w:val="5FCD4E2C"/>
    <w:rsid w:val="5FEF394A"/>
    <w:rsid w:val="5FF67715"/>
    <w:rsid w:val="62BF3928"/>
    <w:rsid w:val="63B3701E"/>
    <w:rsid w:val="647F5392"/>
    <w:rsid w:val="65A543AA"/>
    <w:rsid w:val="65E66580"/>
    <w:rsid w:val="664B1D71"/>
    <w:rsid w:val="664B4E8E"/>
    <w:rsid w:val="67277B67"/>
    <w:rsid w:val="67AA3209"/>
    <w:rsid w:val="698D0931"/>
    <w:rsid w:val="6A7FE5F3"/>
    <w:rsid w:val="6B053271"/>
    <w:rsid w:val="6BDD78B3"/>
    <w:rsid w:val="6C4A05C8"/>
    <w:rsid w:val="6C8742B8"/>
    <w:rsid w:val="6D863196"/>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C06773"/>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BD72C3"/>
    <w:rsid w:val="7FC96657"/>
    <w:rsid w:val="7FDA9588"/>
    <w:rsid w:val="7FDF220F"/>
    <w:rsid w:val="7FEDC5F7"/>
    <w:rsid w:val="7FEDD9DE"/>
    <w:rsid w:val="7FF5890D"/>
    <w:rsid w:val="7FF93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64F7F10F"/>
  <w15:docId w15:val="{C3B83095-C1F8-457F-8C4B-34C1DE01C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semiHidden="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next w:val="21"/>
    <w:semiHidden/>
    <w:qFormat/>
    <w:pPr>
      <w:snapToGrid w:val="0"/>
      <w:jc w:val="left"/>
    </w:pPr>
    <w:rPr>
      <w:sz w:val="18"/>
      <w:szCs w:val="18"/>
    </w:rPr>
  </w:style>
  <w:style w:type="paragraph" w:styleId="21">
    <w:name w:val="Body Text First Indent 2"/>
    <w:basedOn w:val="a4"/>
    <w:uiPriority w:val="99"/>
    <w:unhideWhenUsed/>
    <w:qFormat/>
    <w:pPr>
      <w:ind w:firstLineChars="200" w:firstLine="420"/>
    </w:pPr>
  </w:style>
  <w:style w:type="paragraph" w:styleId="a4">
    <w:name w:val="Body Text Indent"/>
    <w:basedOn w:val="a"/>
    <w:next w:val="21"/>
    <w:qFormat/>
    <w:pPr>
      <w:spacing w:after="120"/>
      <w:ind w:leftChars="200" w:left="200"/>
    </w:pPr>
    <w:rPr>
      <w:rFonts w:ascii="仿宋_GB2312"/>
      <w:szCs w:val="32"/>
    </w:rPr>
  </w:style>
  <w:style w:type="paragraph" w:styleId="a5">
    <w:name w:val="Body Text"/>
    <w:basedOn w:val="a"/>
    <w:link w:val="a6"/>
    <w:uiPriority w:val="99"/>
    <w:qFormat/>
    <w:pPr>
      <w:spacing w:beforeLines="30"/>
    </w:pPr>
    <w:rPr>
      <w:rFonts w:ascii="仿宋_GB2312" w:eastAsia="仿宋_GB2312"/>
      <w:kern w:val="0"/>
      <w:sz w:val="30"/>
    </w:rPr>
  </w:style>
  <w:style w:type="paragraph" w:styleId="TOC3">
    <w:name w:val="toc 3"/>
    <w:basedOn w:val="a"/>
    <w:next w:val="a"/>
    <w:uiPriority w:val="39"/>
    <w:unhideWhenUsed/>
    <w:qFormat/>
    <w:pPr>
      <w:tabs>
        <w:tab w:val="right" w:leader="dot" w:pos="8296"/>
      </w:tabs>
      <w:ind w:leftChars="400" w:left="84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qFormat/>
    <w:pPr>
      <w:tabs>
        <w:tab w:val="center" w:pos="4153"/>
        <w:tab w:val="right" w:pos="8306"/>
      </w:tabs>
      <w:snapToGrid w:val="0"/>
      <w:jc w:val="left"/>
    </w:pPr>
    <w:rPr>
      <w:rFonts w:ascii="Calibri" w:hAnsi="Calibri"/>
      <w:kern w:val="0"/>
      <w:sz w:val="18"/>
      <w:szCs w:val="18"/>
    </w:rPr>
  </w:style>
  <w:style w:type="paragraph" w:styleId="ab">
    <w:name w:val="header"/>
    <w:basedOn w:val="a"/>
    <w:link w:val="ac"/>
    <w:uiPriority w:val="99"/>
    <w:semiHidden/>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TOC1">
    <w:name w:val="toc 1"/>
    <w:basedOn w:val="a"/>
    <w:next w:val="a"/>
    <w:uiPriority w:val="39"/>
    <w:unhideWhenUsed/>
    <w:qFormat/>
    <w:pPr>
      <w:tabs>
        <w:tab w:val="right" w:leader="dot" w:pos="8296"/>
      </w:tabs>
      <w:spacing w:before="93"/>
      <w:jc w:val="center"/>
    </w:pPr>
    <w:rPr>
      <w:rFonts w:ascii="仿宋" w:eastAsia="仿宋" w:hAnsi="仿宋"/>
      <w:sz w:val="28"/>
      <w:szCs w:val="28"/>
    </w:rPr>
  </w:style>
  <w:style w:type="paragraph" w:styleId="TOC2">
    <w:name w:val="toc 2"/>
    <w:basedOn w:val="a"/>
    <w:next w:val="a"/>
    <w:uiPriority w:val="39"/>
    <w:unhideWhenUsed/>
    <w:qFormat/>
    <w:pPr>
      <w:tabs>
        <w:tab w:val="right" w:leader="dot" w:pos="8296"/>
      </w:tabs>
      <w:ind w:leftChars="200" w:left="420"/>
    </w:pPr>
  </w:style>
  <w:style w:type="table" w:styleId="ad">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1"/>
    <w:uiPriority w:val="99"/>
    <w:qFormat/>
    <w:rPr>
      <w:b/>
    </w:rPr>
  </w:style>
  <w:style w:type="character" w:styleId="af">
    <w:name w:val="Hyperlink"/>
    <w:basedOn w:val="a1"/>
    <w:uiPriority w:val="99"/>
    <w:unhideWhenUsed/>
    <w:qFormat/>
    <w:rPr>
      <w:color w:val="0000FF" w:themeColor="hyperlink"/>
      <w:u w:val="single"/>
    </w:rPr>
  </w:style>
  <w:style w:type="paragraph" w:customStyle="1" w:styleId="5">
    <w:name w:val="标题 5（有编号）（绿盟科技）"/>
    <w:next w:val="a"/>
    <w:uiPriority w:val="99"/>
    <w:qFormat/>
    <w:pPr>
      <w:keepNext/>
      <w:keepLines/>
      <w:widowControl w:val="0"/>
      <w:spacing w:before="280" w:after="156" w:line="377" w:lineRule="auto"/>
      <w:outlineLvl w:val="4"/>
    </w:pPr>
    <w:rPr>
      <w:rFonts w:ascii="Arial" w:eastAsia="黑体" w:hAnsi="Arial" w:cs="Times New Roman"/>
      <w:b/>
      <w:kern w:val="2"/>
      <w:sz w:val="24"/>
      <w:szCs w:val="28"/>
    </w:rPr>
  </w:style>
  <w:style w:type="character" w:customStyle="1" w:styleId="HeaderChar">
    <w:name w:val="Header Char"/>
    <w:basedOn w:val="a1"/>
    <w:uiPriority w:val="99"/>
    <w:semiHidden/>
    <w:qFormat/>
    <w:rPr>
      <w:rFonts w:ascii="Times New Roman" w:hAnsi="Times New Roman"/>
      <w:sz w:val="18"/>
      <w:szCs w:val="18"/>
    </w:rPr>
  </w:style>
  <w:style w:type="character" w:customStyle="1" w:styleId="ac">
    <w:name w:val="页眉 字符"/>
    <w:link w:val="ab"/>
    <w:uiPriority w:val="99"/>
    <w:semiHidden/>
    <w:qFormat/>
    <w:locked/>
    <w:rPr>
      <w:sz w:val="18"/>
    </w:rPr>
  </w:style>
  <w:style w:type="character" w:customStyle="1" w:styleId="FooterChar">
    <w:name w:val="Footer Char"/>
    <w:basedOn w:val="a1"/>
    <w:uiPriority w:val="99"/>
    <w:semiHidden/>
    <w:qFormat/>
    <w:rPr>
      <w:rFonts w:ascii="Times New Roman" w:hAnsi="Times New Roman"/>
      <w:sz w:val="18"/>
      <w:szCs w:val="18"/>
    </w:rPr>
  </w:style>
  <w:style w:type="character" w:customStyle="1" w:styleId="aa">
    <w:name w:val="页脚 字符"/>
    <w:link w:val="a9"/>
    <w:uiPriority w:val="99"/>
    <w:qFormat/>
    <w:locked/>
    <w:rPr>
      <w:sz w:val="18"/>
    </w:rPr>
  </w:style>
  <w:style w:type="character" w:customStyle="1" w:styleId="BodyTextChar">
    <w:name w:val="Body Text Char"/>
    <w:basedOn w:val="a1"/>
    <w:uiPriority w:val="99"/>
    <w:semiHidden/>
    <w:qFormat/>
    <w:rPr>
      <w:rFonts w:ascii="Times New Roman" w:hAnsi="Times New Roman"/>
      <w:szCs w:val="24"/>
    </w:rPr>
  </w:style>
  <w:style w:type="character" w:customStyle="1" w:styleId="a6">
    <w:name w:val="正文文本 字符"/>
    <w:link w:val="a5"/>
    <w:uiPriority w:val="99"/>
    <w:qFormat/>
    <w:locked/>
    <w:rPr>
      <w:rFonts w:ascii="仿宋_GB2312" w:eastAsia="仿宋_GB2312" w:hAnsi="Times New Roman"/>
      <w:sz w:val="24"/>
    </w:rPr>
  </w:style>
  <w:style w:type="paragraph" w:customStyle="1" w:styleId="Default">
    <w:name w:val="Default"/>
    <w:uiPriority w:val="99"/>
    <w:qFormat/>
    <w:pPr>
      <w:widowControl w:val="0"/>
      <w:autoSpaceDE w:val="0"/>
      <w:autoSpaceDN w:val="0"/>
      <w:adjustRightInd w:val="0"/>
    </w:pPr>
    <w:rPr>
      <w:rFonts w:ascii="仿宋" w:eastAsia="仿宋" w:hAnsi="Calibri" w:cs="仿宋"/>
      <w:color w:val="000000"/>
      <w:sz w:val="24"/>
      <w:szCs w:val="24"/>
    </w:rPr>
  </w:style>
  <w:style w:type="paragraph" w:styleId="af0">
    <w:name w:val="List Paragraph"/>
    <w:basedOn w:val="a"/>
    <w:uiPriority w:val="34"/>
    <w:qFormat/>
    <w:pPr>
      <w:ind w:firstLineChars="200" w:firstLine="420"/>
    </w:pPr>
  </w:style>
  <w:style w:type="character" w:customStyle="1" w:styleId="10">
    <w:name w:val="标题 1 字符"/>
    <w:basedOn w:val="a1"/>
    <w:link w:val="1"/>
    <w:uiPriority w:val="9"/>
    <w:qFormat/>
    <w:rPr>
      <w:rFonts w:ascii="Times New Roman" w:hAnsi="Times New Roman"/>
      <w:b/>
      <w:bCs/>
      <w:kern w:val="44"/>
      <w:sz w:val="44"/>
      <w:szCs w:val="44"/>
    </w:rPr>
  </w:style>
  <w:style w:type="character" w:customStyle="1" w:styleId="20">
    <w:name w:val="标题 2 字符"/>
    <w:basedOn w:val="a1"/>
    <w:link w:val="2"/>
    <w:uiPriority w:val="9"/>
    <w:qFormat/>
    <w:rPr>
      <w:rFonts w:asciiTheme="majorHAnsi" w:eastAsiaTheme="majorEastAsia" w:hAnsiTheme="majorHAnsi" w:cstheme="majorBidi"/>
      <w:b/>
      <w:bCs/>
      <w:kern w:val="2"/>
      <w:sz w:val="32"/>
      <w:szCs w:val="32"/>
    </w:rPr>
  </w:style>
  <w:style w:type="paragraph" w:customStyle="1" w:styleId="TOC10">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a8">
    <w:name w:val="批注框文本 字符"/>
    <w:basedOn w:val="a1"/>
    <w:link w:val="a7"/>
    <w:uiPriority w:val="99"/>
    <w:semiHidden/>
    <w:qFormat/>
    <w:rPr>
      <w:rFonts w:ascii="Times New Roman" w:hAnsi="Times New Roman"/>
      <w:kern w:val="2"/>
      <w:sz w:val="18"/>
      <w:szCs w:val="18"/>
    </w:rPr>
  </w:style>
  <w:style w:type="character" w:customStyle="1" w:styleId="30">
    <w:name w:val="标题 3 字符"/>
    <w:basedOn w:val="a1"/>
    <w:link w:val="3"/>
    <w:uiPriority w:val="9"/>
    <w:qFormat/>
    <w:rPr>
      <w:rFonts w:ascii="Times New Roman" w:hAnsi="Times New Roman"/>
      <w:b/>
      <w:bCs/>
      <w:kern w:val="2"/>
      <w:sz w:val="32"/>
      <w:szCs w:val="32"/>
    </w:rPr>
  </w:style>
  <w:style w:type="paragraph" w:customStyle="1" w:styleId="TOC20">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af1">
    <w:name w:val="四号正文"/>
    <w:basedOn w:val="a"/>
    <w:qFormat/>
    <w:pPr>
      <w:spacing w:line="360" w:lineRule="auto"/>
    </w:pPr>
    <w:rPr>
      <w:rFonts w:ascii="??" w:hAnsi="??"/>
      <w:color w:val="000000"/>
      <w:kern w:val="0"/>
      <w:sz w:val="28"/>
      <w:szCs w:val="21"/>
      <w:lang w:val="zh-CN"/>
    </w:rPr>
  </w:style>
  <w:style w:type="paragraph" w:customStyle="1" w:styleId="TOC30">
    <w:name w:val="TOC 标题3"/>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5.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hart" Target="charts/chart4.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收入、支出决算总计变动情况图</a:t>
            </a:r>
            <a:endParaRPr lang="zh-CN" altLang="en-US"/>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manualLayout>
          <c:layoutTarget val="inner"/>
          <c:xMode val="edge"/>
          <c:yMode val="edge"/>
          <c:x val="8.8247372642108607E-2"/>
          <c:y val="0.157688338493292"/>
          <c:w val="0.88285785249634596"/>
          <c:h val="0.649170912459472"/>
        </c:manualLayout>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cat>
            <c:strRef>
              <c:f>Sheet1!$A$2:$A$3</c:f>
              <c:strCache>
                <c:ptCount val="2"/>
                <c:pt idx="0">
                  <c:v>总收入</c:v>
                </c:pt>
                <c:pt idx="1">
                  <c:v>总支出</c:v>
                </c:pt>
              </c:strCache>
            </c:strRef>
          </c:cat>
          <c:val>
            <c:numRef>
              <c:f>Sheet1!$B$2:$B$3</c:f>
              <c:numCache>
                <c:formatCode>General</c:formatCode>
                <c:ptCount val="2"/>
                <c:pt idx="0">
                  <c:v>10713.02</c:v>
                </c:pt>
                <c:pt idx="1">
                  <c:v>10808.58</c:v>
                </c:pt>
              </c:numCache>
            </c:numRef>
          </c:val>
          <c:extLst>
            <c:ext xmlns:c16="http://schemas.microsoft.com/office/drawing/2014/chart" uri="{C3380CC4-5D6E-409C-BE32-E72D297353CC}">
              <c16:uniqueId val="{00000000-4BC0-46B0-AD92-FC77F21FEC8D}"/>
            </c:ext>
          </c:extLst>
        </c:ser>
        <c:ser>
          <c:idx val="1"/>
          <c:order val="1"/>
          <c:tx>
            <c:strRef>
              <c:f>Sheet1!$C$1</c:f>
              <c:strCache>
                <c:ptCount val="1"/>
                <c:pt idx="0">
                  <c:v>2024年</c:v>
                </c:pt>
              </c:strCache>
            </c:strRef>
          </c:tx>
          <c:spPr>
            <a:solidFill>
              <a:schemeClr val="accent2"/>
            </a:solidFill>
            <a:ln>
              <a:noFill/>
            </a:ln>
            <a:effectLst/>
          </c:spPr>
          <c:invertIfNegative val="0"/>
          <c:cat>
            <c:strRef>
              <c:f>Sheet1!$A$2:$A$3</c:f>
              <c:strCache>
                <c:ptCount val="2"/>
                <c:pt idx="0">
                  <c:v>总收入</c:v>
                </c:pt>
                <c:pt idx="1">
                  <c:v>总支出</c:v>
                </c:pt>
              </c:strCache>
            </c:strRef>
          </c:cat>
          <c:val>
            <c:numRef>
              <c:f>Sheet1!$C$2:$C$3</c:f>
              <c:numCache>
                <c:formatCode>General</c:formatCode>
                <c:ptCount val="2"/>
                <c:pt idx="0">
                  <c:v>9772.17</c:v>
                </c:pt>
                <c:pt idx="1">
                  <c:v>9776.69</c:v>
                </c:pt>
              </c:numCache>
            </c:numRef>
          </c:val>
          <c:extLst>
            <c:ext xmlns:c16="http://schemas.microsoft.com/office/drawing/2014/chart" uri="{C3380CC4-5D6E-409C-BE32-E72D297353CC}">
              <c16:uniqueId val="{00000001-4BC0-46B0-AD92-FC77F21FEC8D}"/>
            </c:ext>
          </c:extLst>
        </c:ser>
        <c:dLbls>
          <c:showLegendKey val="0"/>
          <c:showVal val="0"/>
          <c:showCatName val="0"/>
          <c:showSerName val="0"/>
          <c:showPercent val="0"/>
          <c:showBubbleSize val="0"/>
        </c:dLbls>
        <c:gapWidth val="219"/>
        <c:overlap val="-27"/>
        <c:axId val="55097488"/>
        <c:axId val="55094248"/>
      </c:barChart>
      <c:catAx>
        <c:axId val="55097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5094248"/>
        <c:crosses val="autoZero"/>
        <c:auto val="1"/>
        <c:lblAlgn val="ctr"/>
        <c:lblOffset val="100"/>
        <c:noMultiLvlLbl val="0"/>
      </c:catAx>
      <c:valAx>
        <c:axId val="550942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5097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uri="{0b15fc19-7d7d-44ad-8c2d-2c3a37ce22c3}">
        <chartProps xmlns="https://web.wps.cn/et/2018/main" chartId="{17251ca2-86c8-4c6a-8575-d5a1691dd9fa}"/>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收入决算结构图</a:t>
            </a:r>
            <a:endParaRPr lang="zh-CN" altLang="en-US"/>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pieChart>
        <c:varyColors val="1"/>
        <c:ser>
          <c:idx val="0"/>
          <c:order val="0"/>
          <c:tx>
            <c:strRef>
              <c:f>Sheet1!$B$1</c:f>
              <c:strCache>
                <c:ptCount val="1"/>
                <c:pt idx="0">
                  <c:v>金额</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0E7-4ACE-8571-0D63826650B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0E7-4ACE-8571-0D63826650B6}"/>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00E7-4ACE-8571-0D63826650B6}"/>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00E7-4ACE-8571-0D63826650B6}"/>
              </c:ext>
            </c:extLst>
          </c:dPt>
          <c:cat>
            <c:strRef>
              <c:f>Sheet1!$A$2:$A$5</c:f>
              <c:strCache>
                <c:ptCount val="4"/>
                <c:pt idx="0">
                  <c:v>一般公共预算财政拨款收入</c:v>
                </c:pt>
                <c:pt idx="1">
                  <c:v>政府性基金预算财政拨款收入</c:v>
                </c:pt>
                <c:pt idx="2">
                  <c:v>事业收入</c:v>
                </c:pt>
                <c:pt idx="3">
                  <c:v>其他收入</c:v>
                </c:pt>
              </c:strCache>
            </c:strRef>
          </c:cat>
          <c:val>
            <c:numRef>
              <c:f>Sheet1!$B$2:$B$5</c:f>
              <c:numCache>
                <c:formatCode>General</c:formatCode>
                <c:ptCount val="4"/>
                <c:pt idx="0">
                  <c:v>4304.4399999999996</c:v>
                </c:pt>
                <c:pt idx="1">
                  <c:v>2747.34</c:v>
                </c:pt>
                <c:pt idx="2">
                  <c:v>2668.67</c:v>
                </c:pt>
                <c:pt idx="3">
                  <c:v>51.72</c:v>
                </c:pt>
              </c:numCache>
            </c:numRef>
          </c:val>
          <c:extLst>
            <c:ext xmlns:c16="http://schemas.microsoft.com/office/drawing/2014/chart" uri="{C3380CC4-5D6E-409C-BE32-E72D297353CC}">
              <c16:uniqueId val="{00000008-00E7-4ACE-8571-0D63826650B6}"/>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uri="{0b15fc19-7d7d-44ad-8c2d-2c3a37ce22c3}">
        <chartProps xmlns="https://web.wps.cn/et/2018/main" chartId="{c08f37bc-6160-4632-ac75-cc366b3e1c37}"/>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支出决算结构图</a:t>
            </a:r>
            <a:endParaRPr lang="zh-CN" altLang="en-US"/>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pieChart>
        <c:varyColors val="1"/>
        <c:ser>
          <c:idx val="0"/>
          <c:order val="0"/>
          <c:tx>
            <c:strRef>
              <c:f>Sheet1!$B$1</c:f>
              <c:strCache>
                <c:ptCount val="1"/>
                <c:pt idx="0">
                  <c:v>金额</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294-4BB7-89FB-22655F85E96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294-4BB7-89FB-22655F85E96B}"/>
              </c:ext>
            </c:extLst>
          </c:dPt>
          <c:cat>
            <c:strRef>
              <c:f>Sheet1!$A$2:$A$3</c:f>
              <c:strCache>
                <c:ptCount val="2"/>
                <c:pt idx="0">
                  <c:v>基本支出</c:v>
                </c:pt>
                <c:pt idx="1">
                  <c:v>项目支出</c:v>
                </c:pt>
              </c:strCache>
            </c:strRef>
          </c:cat>
          <c:val>
            <c:numRef>
              <c:f>Sheet1!$B$2:$B$3</c:f>
              <c:numCache>
                <c:formatCode>General</c:formatCode>
                <c:ptCount val="2"/>
                <c:pt idx="0">
                  <c:v>4176.8500000000004</c:v>
                </c:pt>
                <c:pt idx="1">
                  <c:v>5599.84</c:v>
                </c:pt>
              </c:numCache>
            </c:numRef>
          </c:val>
          <c:extLst>
            <c:ext xmlns:c16="http://schemas.microsoft.com/office/drawing/2014/chart" uri="{C3380CC4-5D6E-409C-BE32-E72D297353CC}">
              <c16:uniqueId val="{00000004-5294-4BB7-89FB-22655F85E96B}"/>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uri="{0b15fc19-7d7d-44ad-8c2d-2c3a37ce22c3}">
        <chartProps xmlns="https://web.wps.cn/et/2018/main" chartId="{2bc6cbb0-1a5b-4b6a-8ee7-151395aca206}"/>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财政拨款收、支决算总计变动情况图</a:t>
            </a:r>
            <a:endParaRPr lang="zh-CN" altLang="en-US"/>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barChart>
        <c:barDir val="col"/>
        <c:grouping val="clustered"/>
        <c:varyColors val="0"/>
        <c:ser>
          <c:idx val="0"/>
          <c:order val="0"/>
          <c:tx>
            <c:strRef>
              <c:f>Sheet1!$B$1</c:f>
              <c:strCache>
                <c:ptCount val="1"/>
                <c:pt idx="0">
                  <c:v>金额</c:v>
                </c:pt>
              </c:strCache>
            </c:strRef>
          </c:tx>
          <c:spPr>
            <a:solidFill>
              <a:schemeClr val="accent1"/>
            </a:solidFill>
            <a:ln>
              <a:noFill/>
            </a:ln>
            <a:effectLst/>
          </c:spPr>
          <c:invertIfNegative val="0"/>
          <c:dPt>
            <c:idx val="1"/>
            <c:invertIfNegative val="0"/>
            <c:bubble3D val="0"/>
            <c:spPr>
              <a:solidFill>
                <a:schemeClr val="accent2"/>
              </a:solidFill>
              <a:ln>
                <a:noFill/>
              </a:ln>
              <a:effectLst/>
            </c:spPr>
            <c:extLst>
              <c:ext xmlns:c16="http://schemas.microsoft.com/office/drawing/2014/chart" uri="{C3380CC4-5D6E-409C-BE32-E72D297353CC}">
                <c16:uniqueId val="{00000001-2D6F-4513-9B05-B0DE977AA4A1}"/>
              </c:ext>
            </c:extLst>
          </c:dPt>
          <c:cat>
            <c:strRef>
              <c:f>Sheet1!$A$2:$A$3</c:f>
              <c:strCache>
                <c:ptCount val="2"/>
                <c:pt idx="0">
                  <c:v>2023年度财政拨款收入、支出总计</c:v>
                </c:pt>
                <c:pt idx="1">
                  <c:v>2024年度财政拨款收入、支出总计</c:v>
                </c:pt>
              </c:strCache>
            </c:strRef>
          </c:cat>
          <c:val>
            <c:numRef>
              <c:f>Sheet1!$B$2:$B$3</c:f>
              <c:numCache>
                <c:formatCode>General</c:formatCode>
                <c:ptCount val="2"/>
                <c:pt idx="0">
                  <c:v>5602.99</c:v>
                </c:pt>
                <c:pt idx="1">
                  <c:v>7051.78</c:v>
                </c:pt>
              </c:numCache>
            </c:numRef>
          </c:val>
          <c:extLst>
            <c:ext xmlns:c16="http://schemas.microsoft.com/office/drawing/2014/chart" uri="{C3380CC4-5D6E-409C-BE32-E72D297353CC}">
              <c16:uniqueId val="{00000002-2D6F-4513-9B05-B0DE977AA4A1}"/>
            </c:ext>
          </c:extLst>
        </c:ser>
        <c:dLbls>
          <c:showLegendKey val="0"/>
          <c:showVal val="0"/>
          <c:showCatName val="0"/>
          <c:showSerName val="0"/>
          <c:showPercent val="0"/>
          <c:showBubbleSize val="0"/>
        </c:dLbls>
        <c:gapWidth val="219"/>
        <c:overlap val="-27"/>
        <c:axId val="844815368"/>
        <c:axId val="844816088"/>
      </c:barChart>
      <c:catAx>
        <c:axId val="8448153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44816088"/>
        <c:crosses val="autoZero"/>
        <c:auto val="1"/>
        <c:lblAlgn val="ctr"/>
        <c:lblOffset val="100"/>
        <c:noMultiLvlLbl val="0"/>
      </c:catAx>
      <c:valAx>
        <c:axId val="8448160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448153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uri="{0b15fc19-7d7d-44ad-8c2d-2c3a37ce22c3}">
        <chartProps xmlns="https://web.wps.cn/et/2018/main" chartId="{70af1f24-fa50-4e66-a9e9-e662ea02a9ac}"/>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一般公共预算财政拨款支出决算变动情况图</a:t>
            </a:r>
            <a:endParaRPr lang="zh-CN" altLang="en-US"/>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barChart>
        <c:barDir val="col"/>
        <c:grouping val="clustered"/>
        <c:varyColors val="0"/>
        <c:ser>
          <c:idx val="0"/>
          <c:order val="0"/>
          <c:tx>
            <c:strRef>
              <c:f>Sheet1!$B$1</c:f>
              <c:strCache>
                <c:ptCount val="1"/>
                <c:pt idx="0">
                  <c:v>金额</c:v>
                </c:pt>
              </c:strCache>
            </c:strRef>
          </c:tx>
          <c:spPr>
            <a:solidFill>
              <a:schemeClr val="accent1"/>
            </a:solidFill>
            <a:ln>
              <a:noFill/>
            </a:ln>
            <a:effectLst/>
          </c:spPr>
          <c:invertIfNegative val="0"/>
          <c:dPt>
            <c:idx val="1"/>
            <c:invertIfNegative val="0"/>
            <c:bubble3D val="0"/>
            <c:spPr>
              <a:solidFill>
                <a:schemeClr val="accent2"/>
              </a:solidFill>
              <a:ln>
                <a:noFill/>
              </a:ln>
              <a:effectLst/>
            </c:spPr>
            <c:extLst>
              <c:ext xmlns:c16="http://schemas.microsoft.com/office/drawing/2014/chart" uri="{C3380CC4-5D6E-409C-BE32-E72D297353CC}">
                <c16:uniqueId val="{00000001-941C-46D7-A527-20A4C67F2FC6}"/>
              </c:ext>
            </c:extLst>
          </c:dPt>
          <c:cat>
            <c:strRef>
              <c:f>Sheet1!$A$2:$A$3</c:f>
              <c:strCache>
                <c:ptCount val="2"/>
                <c:pt idx="0">
                  <c:v>2023年度一般公共预算财政拨款支出</c:v>
                </c:pt>
                <c:pt idx="1">
                  <c:v>2024年度一般公共预算财政拨款支出</c:v>
                </c:pt>
              </c:strCache>
            </c:strRef>
          </c:cat>
          <c:val>
            <c:numRef>
              <c:f>Sheet1!$B$2:$B$3</c:f>
              <c:numCache>
                <c:formatCode>General</c:formatCode>
                <c:ptCount val="2"/>
                <c:pt idx="0">
                  <c:v>2790.94</c:v>
                </c:pt>
                <c:pt idx="1">
                  <c:v>4304.4399999999996</c:v>
                </c:pt>
              </c:numCache>
            </c:numRef>
          </c:val>
          <c:extLst>
            <c:ext xmlns:c16="http://schemas.microsoft.com/office/drawing/2014/chart" uri="{C3380CC4-5D6E-409C-BE32-E72D297353CC}">
              <c16:uniqueId val="{00000002-941C-46D7-A527-20A4C67F2FC6}"/>
            </c:ext>
          </c:extLst>
        </c:ser>
        <c:dLbls>
          <c:showLegendKey val="0"/>
          <c:showVal val="0"/>
          <c:showCatName val="0"/>
          <c:showSerName val="0"/>
          <c:showPercent val="0"/>
          <c:showBubbleSize val="0"/>
        </c:dLbls>
        <c:gapWidth val="219"/>
        <c:overlap val="-27"/>
        <c:axId val="842664088"/>
        <c:axId val="842661928"/>
      </c:barChart>
      <c:catAx>
        <c:axId val="842664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42661928"/>
        <c:crosses val="autoZero"/>
        <c:auto val="1"/>
        <c:lblAlgn val="ctr"/>
        <c:lblOffset val="100"/>
        <c:noMultiLvlLbl val="0"/>
      </c:catAx>
      <c:valAx>
        <c:axId val="8426619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426640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uri="{0b15fc19-7d7d-44ad-8c2d-2c3a37ce22c3}">
        <chartProps xmlns="https://web.wps.cn/et/2018/main" chartId="{a31eda82-de21-40e8-b55a-22343aaa2f15}"/>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a:t>一般公共预算财政拨款支出决算结构图</a:t>
            </a:r>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pieChart>
        <c:varyColors val="1"/>
        <c:ser>
          <c:idx val="0"/>
          <c:order val="0"/>
          <c:tx>
            <c:strRef>
              <c:f>Sheet1!$B$1</c:f>
              <c:strCache>
                <c:ptCount val="1"/>
                <c:pt idx="0">
                  <c:v>一般公共预算财政拨款支出决算结构</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E7A-4078-8AD0-0CB1F92FEDC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E7A-4078-8AD0-0CB1F92FEDC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DE7A-4078-8AD0-0CB1F92FEDCB}"/>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DE7A-4078-8AD0-0CB1F92FEDCB}"/>
              </c:ext>
            </c:extLst>
          </c:dPt>
          <c:cat>
            <c:strRef>
              <c:f>Sheet1!$A$2:$A$5</c:f>
              <c:strCache>
                <c:ptCount val="4"/>
                <c:pt idx="0">
                  <c:v>社会保障和就业支出</c:v>
                </c:pt>
                <c:pt idx="1">
                  <c:v>卫生健康支出</c:v>
                </c:pt>
                <c:pt idx="2">
                  <c:v>住房保障支出</c:v>
                </c:pt>
                <c:pt idx="3">
                  <c:v>其他支出</c:v>
                </c:pt>
              </c:strCache>
            </c:strRef>
          </c:cat>
          <c:val>
            <c:numRef>
              <c:f>Sheet1!$B$2:$B$5</c:f>
              <c:numCache>
                <c:formatCode>General</c:formatCode>
                <c:ptCount val="4"/>
                <c:pt idx="0">
                  <c:v>91.55</c:v>
                </c:pt>
                <c:pt idx="1">
                  <c:v>4102.42</c:v>
                </c:pt>
                <c:pt idx="2">
                  <c:v>76.680000000000007</c:v>
                </c:pt>
                <c:pt idx="3">
                  <c:v>33.79</c:v>
                </c:pt>
              </c:numCache>
            </c:numRef>
          </c:val>
          <c:extLst>
            <c:ext xmlns:c16="http://schemas.microsoft.com/office/drawing/2014/chart" uri="{C3380CC4-5D6E-409C-BE32-E72D297353CC}">
              <c16:uniqueId val="{00000008-DE7A-4078-8AD0-0CB1F92FEDCB}"/>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uri="{0b15fc19-7d7d-44ad-8c2d-2c3a37ce22c3}">
        <chartProps xmlns="https://web.wps.cn/et/2018/main" chartId="{3ea28854-5d67-4d0e-a22a-6f2cb9987296}"/>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a:t>“三公”经费财政拨款支出结构图</a:t>
            </a:r>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pieChart>
        <c:varyColors val="1"/>
        <c:ser>
          <c:idx val="0"/>
          <c:order val="0"/>
          <c:tx>
            <c:strRef>
              <c:f>Sheet1!$B$1</c:f>
              <c:strCache>
                <c:ptCount val="1"/>
                <c:pt idx="0">
                  <c:v>“三公”经费财政拨款支出结构</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F171-4A51-B3F7-425F72B5BCE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F171-4A51-B3F7-425F72B5BCE7}"/>
              </c:ext>
            </c:extLst>
          </c:dPt>
          <c:cat>
            <c:strRef>
              <c:f>Sheet1!$A$2:$A$3</c:f>
              <c:strCache>
                <c:ptCount val="2"/>
                <c:pt idx="0">
                  <c:v>公务用车购置及运行维护费支出决算</c:v>
                </c:pt>
                <c:pt idx="1">
                  <c:v>公务接待费支出决算</c:v>
                </c:pt>
              </c:strCache>
            </c:strRef>
          </c:cat>
          <c:val>
            <c:numRef>
              <c:f>Sheet1!$B$2:$B$3</c:f>
              <c:numCache>
                <c:formatCode>General</c:formatCode>
                <c:ptCount val="2"/>
                <c:pt idx="0">
                  <c:v>13.24</c:v>
                </c:pt>
                <c:pt idx="1">
                  <c:v>0.47</c:v>
                </c:pt>
              </c:numCache>
            </c:numRef>
          </c:val>
          <c:extLst>
            <c:ext xmlns:c16="http://schemas.microsoft.com/office/drawing/2014/chart" uri="{C3380CC4-5D6E-409C-BE32-E72D297353CC}">
              <c16:uniqueId val="{00000004-F171-4A51-B3F7-425F72B5BCE7}"/>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uri="{0b15fc19-7d7d-44ad-8c2d-2c3a37ce22c3}">
        <chartProps xmlns="https://web.wps.cn/et/2018/main" chartId="{4cb9f749-6857-4103-9891-4c9a22b71122}"/>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C26F9-07DC-43B6-BCB8-4F5F96D30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1129</Words>
  <Characters>6440</Characters>
  <Application>Microsoft Office Word</Application>
  <DocSecurity>0</DocSecurity>
  <Lines>53</Lines>
  <Paragraphs>15</Paragraphs>
  <ScaleCrop>false</ScaleCrop>
  <Company>四川省财政厅</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user</cp:lastModifiedBy>
  <cp:revision>375</cp:revision>
  <cp:lastPrinted>2025-08-06T17:34:00Z</cp:lastPrinted>
  <dcterms:created xsi:type="dcterms:W3CDTF">2020-08-09T09:49:00Z</dcterms:created>
  <dcterms:modified xsi:type="dcterms:W3CDTF">2025-10-22T03:04:00Z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04787F2533EB45DC91BCDE4AB213247F</vt:lpwstr>
  </property>
  <property fmtid="{D5CDD505-2E9C-101B-9397-08002B2CF9AE}" pid="4" name="KSOTemplateDocerSaveRecord">
    <vt:lpwstr>eyJoZGlkIjoiNTEwZjczMTk5N2RhMDczZjdlZWQzZWEyOTI3ODdiZjIiLCJ1c2VySWQiOiIyMzQ4MDE3OTMifQ==</vt:lpwstr>
  </property>
</Properties>
</file>