
<file path=[Content_Types].xml><?xml version="1.0" encoding="utf-8"?>
<Types xmlns="http://schemas.openxmlformats.org/package/2006/content-types">
  <Default Extension="xml" ContentType="application/xml"/>
  <Default Extension="xlsx" ContentType="application/vnd.openxmlformats-officedocument.spreadsheetml.sheet"/>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left"/>
        <w:outlineLvl w:val="9"/>
        <w:rPr>
          <w:rFonts w:ascii="方正小标宋简体" w:hAnsi="宋体" w:eastAsia="方正小标宋简体"/>
          <w:color w:val="auto"/>
          <w:sz w:val="21"/>
          <w:szCs w:val="21"/>
          <w:highlight w:val="none"/>
        </w:rPr>
      </w:pPr>
      <w:bookmarkStart w:id="0" w:name="_Toc15306267"/>
      <w:bookmarkStart w:id="104" w:name="_GoBack"/>
      <w:bookmarkEnd w:id="104"/>
    </w:p>
    <w:p>
      <w:pPr>
        <w:spacing w:line="600" w:lineRule="exact"/>
        <w:jc w:val="center"/>
        <w:outlineLvl w:val="9"/>
        <w:rPr>
          <w:rFonts w:ascii="方正小标宋简体" w:hAnsi="宋体" w:eastAsia="方正小标宋简体"/>
          <w:color w:val="auto"/>
          <w:sz w:val="72"/>
          <w:szCs w:val="72"/>
          <w:highlight w:val="none"/>
        </w:rPr>
      </w:pPr>
    </w:p>
    <w:p>
      <w:pPr>
        <w:spacing w:line="600" w:lineRule="exact"/>
        <w:jc w:val="center"/>
        <w:outlineLvl w:val="9"/>
        <w:rPr>
          <w:rFonts w:ascii="方正小标宋简体" w:hAnsi="宋体" w:eastAsia="方正小标宋简体"/>
          <w:color w:val="auto"/>
          <w:sz w:val="72"/>
          <w:szCs w:val="72"/>
          <w:highlight w:val="none"/>
        </w:rPr>
      </w:pPr>
    </w:p>
    <w:p>
      <w:pPr>
        <w:adjustRightInd w:val="0"/>
        <w:snapToGrid w:val="0"/>
        <w:spacing w:line="360" w:lineRule="auto"/>
        <w:jc w:val="center"/>
        <w:outlineLvl w:val="0"/>
        <w:rPr>
          <w:rFonts w:hint="eastAsia" w:ascii="方正仿宋_GB2312" w:hAnsi="方正仿宋_GB2312" w:eastAsia="方正仿宋_GB2312" w:cs="方正仿宋_GB2312"/>
          <w:b/>
          <w:bCs/>
          <w:color w:val="auto"/>
          <w:sz w:val="72"/>
          <w:szCs w:val="72"/>
          <w:highlight w:val="none"/>
        </w:rPr>
      </w:pPr>
      <w:bookmarkStart w:id="1" w:name="_Toc15396475"/>
      <w:bookmarkStart w:id="2" w:name="_Toc15396597"/>
      <w:bookmarkStart w:id="3" w:name="_Toc24153"/>
      <w:bookmarkStart w:id="4" w:name="_Toc15377193"/>
      <w:bookmarkStart w:id="5" w:name="_Toc15378441"/>
      <w:bookmarkStart w:id="6" w:name="_Toc15377425"/>
      <w:r>
        <w:rPr>
          <w:rFonts w:hint="eastAsia" w:ascii="方正仿宋_GB2312" w:hAnsi="方正仿宋_GB2312" w:eastAsia="方正仿宋_GB2312" w:cs="方正仿宋_GB2312"/>
          <w:b/>
          <w:bCs/>
          <w:color w:val="auto"/>
          <w:sz w:val="72"/>
          <w:szCs w:val="72"/>
          <w:highlight w:val="none"/>
        </w:rPr>
        <w:t>20</w:t>
      </w:r>
      <w:r>
        <w:rPr>
          <w:rFonts w:hint="eastAsia" w:ascii="方正仿宋_GB2312" w:hAnsi="方正仿宋_GB2312" w:eastAsia="方正仿宋_GB2312" w:cs="方正仿宋_GB2312"/>
          <w:b/>
          <w:bCs/>
          <w:color w:val="auto"/>
          <w:sz w:val="72"/>
          <w:szCs w:val="72"/>
          <w:highlight w:val="none"/>
          <w:lang w:val="en-US" w:eastAsia="zh-CN"/>
        </w:rPr>
        <w:t>22</w:t>
      </w:r>
      <w:r>
        <w:rPr>
          <w:rFonts w:hint="eastAsia" w:ascii="方正仿宋_GB2312" w:hAnsi="方正仿宋_GB2312" w:eastAsia="方正仿宋_GB2312" w:cs="方正仿宋_GB2312"/>
          <w:b/>
          <w:bCs/>
          <w:color w:val="auto"/>
          <w:sz w:val="72"/>
          <w:szCs w:val="72"/>
          <w:highlight w:val="none"/>
        </w:rPr>
        <w:t>年度</w:t>
      </w:r>
      <w:bookmarkEnd w:id="1"/>
      <w:bookmarkEnd w:id="2"/>
      <w:bookmarkEnd w:id="3"/>
      <w:bookmarkEnd w:id="4"/>
      <w:bookmarkEnd w:id="5"/>
      <w:bookmarkEnd w:id="6"/>
    </w:p>
    <w:p>
      <w:pPr>
        <w:adjustRightInd w:val="0"/>
        <w:snapToGrid w:val="0"/>
        <w:spacing w:line="360" w:lineRule="auto"/>
        <w:jc w:val="center"/>
        <w:outlineLvl w:val="0"/>
        <w:rPr>
          <w:rFonts w:hint="eastAsia" w:ascii="方正仿宋_GB2312" w:hAnsi="方正仿宋_GB2312" w:eastAsia="方正仿宋_GB2312" w:cs="方正仿宋_GB2312"/>
          <w:b/>
          <w:bCs/>
          <w:color w:val="auto"/>
          <w:sz w:val="72"/>
          <w:szCs w:val="72"/>
          <w:highlight w:val="none"/>
          <w:lang w:eastAsia="zh-CN"/>
        </w:rPr>
      </w:pPr>
      <w:bookmarkStart w:id="7" w:name="_Toc15378442"/>
      <w:bookmarkStart w:id="8" w:name="_Toc15396476"/>
      <w:bookmarkStart w:id="9" w:name="_Toc30805"/>
      <w:bookmarkStart w:id="10" w:name="_Toc15377426"/>
      <w:bookmarkStart w:id="11" w:name="_Toc15396598"/>
      <w:bookmarkStart w:id="12" w:name="_Toc15377194"/>
      <w:r>
        <w:rPr>
          <w:rFonts w:hint="eastAsia" w:ascii="方正仿宋_GB2312" w:hAnsi="方正仿宋_GB2312" w:eastAsia="方正仿宋_GB2312" w:cs="方正仿宋_GB2312"/>
          <w:b/>
          <w:bCs/>
          <w:color w:val="auto"/>
          <w:sz w:val="72"/>
          <w:szCs w:val="72"/>
          <w:highlight w:val="none"/>
          <w:lang w:val="en-US" w:eastAsia="zh-CN"/>
        </w:rPr>
        <w:t>巴中市</w:t>
      </w:r>
      <w:bookmarkEnd w:id="0"/>
      <w:bookmarkStart w:id="13" w:name="_Toc15306268"/>
      <w:r>
        <w:rPr>
          <w:rFonts w:hint="eastAsia" w:ascii="方正仿宋_GB2312" w:hAnsi="方正仿宋_GB2312" w:eastAsia="方正仿宋_GB2312" w:cs="方正仿宋_GB2312"/>
          <w:b/>
          <w:bCs/>
          <w:color w:val="auto"/>
          <w:sz w:val="72"/>
          <w:szCs w:val="72"/>
          <w:highlight w:val="none"/>
          <w:lang w:val="en-US" w:eastAsia="zh-CN"/>
        </w:rPr>
        <w:t>妇幼保健院</w:t>
      </w:r>
      <w:r>
        <w:rPr>
          <w:rFonts w:hint="eastAsia" w:ascii="方正仿宋_GB2312" w:hAnsi="方正仿宋_GB2312" w:eastAsia="方正仿宋_GB2312" w:cs="方正仿宋_GB2312"/>
          <w:b/>
          <w:bCs/>
          <w:color w:val="auto"/>
          <w:sz w:val="72"/>
          <w:szCs w:val="72"/>
          <w:highlight w:val="none"/>
          <w:lang w:eastAsia="zh-CN"/>
        </w:rPr>
        <w:t>单位</w:t>
      </w:r>
    </w:p>
    <w:p>
      <w:pPr>
        <w:adjustRightInd w:val="0"/>
        <w:snapToGrid w:val="0"/>
        <w:spacing w:line="360" w:lineRule="auto"/>
        <w:jc w:val="center"/>
        <w:outlineLvl w:val="0"/>
        <w:rPr>
          <w:rFonts w:hint="eastAsia" w:ascii="方正仿宋_GB2312" w:hAnsi="方正仿宋_GB2312" w:eastAsia="方正仿宋_GB2312" w:cs="方正仿宋_GB2312"/>
          <w:b/>
          <w:bCs/>
          <w:color w:val="auto"/>
          <w:sz w:val="72"/>
          <w:szCs w:val="72"/>
          <w:highlight w:val="none"/>
          <w:lang w:eastAsia="zh-CN"/>
        </w:rPr>
      </w:pPr>
      <w:r>
        <w:rPr>
          <w:rFonts w:hint="eastAsia" w:ascii="方正仿宋_GB2312" w:hAnsi="方正仿宋_GB2312" w:eastAsia="方正仿宋_GB2312" w:cs="方正仿宋_GB2312"/>
          <w:b/>
          <w:bCs/>
          <w:color w:val="auto"/>
          <w:sz w:val="72"/>
          <w:szCs w:val="72"/>
          <w:highlight w:val="none"/>
          <w:lang w:eastAsia="zh-CN"/>
        </w:rPr>
        <w:t>决</w:t>
      </w:r>
      <w:r>
        <w:rPr>
          <w:rFonts w:hint="eastAsia" w:ascii="方正仿宋_GB2312" w:hAnsi="方正仿宋_GB2312" w:eastAsia="方正仿宋_GB2312" w:cs="方正仿宋_GB2312"/>
          <w:b/>
          <w:bCs/>
          <w:color w:val="auto"/>
          <w:sz w:val="72"/>
          <w:szCs w:val="72"/>
          <w:highlight w:val="none"/>
        </w:rPr>
        <w:t>算</w:t>
      </w:r>
      <w:bookmarkEnd w:id="7"/>
      <w:bookmarkEnd w:id="8"/>
      <w:bookmarkEnd w:id="9"/>
      <w:bookmarkEnd w:id="10"/>
      <w:bookmarkEnd w:id="11"/>
      <w:bookmarkEnd w:id="12"/>
      <w:bookmarkEnd w:id="13"/>
      <w:r>
        <w:rPr>
          <w:rFonts w:hint="eastAsia" w:ascii="方正仿宋_GB2312" w:hAnsi="方正仿宋_GB2312" w:eastAsia="方正仿宋_GB2312" w:cs="方正仿宋_GB2312"/>
          <w:b/>
          <w:bCs/>
          <w:color w:val="auto"/>
          <w:sz w:val="72"/>
          <w:szCs w:val="72"/>
          <w:highlight w:val="none"/>
          <w:lang w:eastAsia="zh-CN"/>
        </w:rPr>
        <w:t>公开说明</w:t>
      </w:r>
    </w:p>
    <w:p>
      <w:pPr>
        <w:widowControl/>
        <w:jc w:val="center"/>
        <w:rPr>
          <w:rFonts w:ascii="黑体" w:hAnsi="黑体" w:eastAsia="黑体" w:cstheme="minorBidi"/>
          <w:color w:val="auto"/>
          <w:sz w:val="28"/>
          <w:szCs w:val="28"/>
          <w:highlight w:val="none"/>
        </w:rPr>
      </w:pPr>
      <w:r>
        <w:rPr>
          <w:rFonts w:ascii="方正小标宋简体" w:hAnsi="宋体" w:eastAsia="方正小标宋简体"/>
          <w:color w:val="auto"/>
          <w:sz w:val="36"/>
          <w:szCs w:val="36"/>
          <w:highlight w:val="none"/>
        </w:rPr>
        <w:br w:type="page"/>
      </w:r>
      <w:r>
        <w:rPr>
          <w:rFonts w:hint="eastAsia" w:ascii="黑体" w:hAnsi="黑体" w:eastAsia="黑体"/>
          <w:color w:val="auto"/>
          <w:sz w:val="48"/>
          <w:szCs w:val="48"/>
          <w:highlight w:val="none"/>
        </w:rPr>
        <w:t>目录</w:t>
      </w:r>
    </w:p>
    <w:p>
      <w:pPr>
        <w:pStyle w:val="10"/>
        <w:rPr>
          <w:color w:val="auto"/>
          <w:highlight w:val="none"/>
        </w:rPr>
      </w:pPr>
      <w:r>
        <w:rPr>
          <w:rFonts w:hint="eastAsia"/>
          <w:color w:val="auto"/>
          <w:highlight w:val="none"/>
        </w:rPr>
        <w:t>公开时间：20</w:t>
      </w:r>
      <w:r>
        <w:rPr>
          <w:rFonts w:hint="eastAsia"/>
          <w:color w:val="auto"/>
          <w:highlight w:val="none"/>
          <w:lang w:val="en-US" w:eastAsia="zh-CN"/>
        </w:rPr>
        <w:t>23</w:t>
      </w:r>
      <w:r>
        <w:rPr>
          <w:rFonts w:hint="eastAsia"/>
          <w:color w:val="auto"/>
          <w:highlight w:val="none"/>
        </w:rPr>
        <w:t>年</w:t>
      </w:r>
      <w:r>
        <w:rPr>
          <w:rFonts w:hint="eastAsia"/>
          <w:color w:val="auto"/>
          <w:highlight w:val="none"/>
          <w:lang w:val="en-US" w:eastAsia="zh-CN"/>
        </w:rPr>
        <w:t>10月11</w:t>
      </w:r>
      <w:r>
        <w:rPr>
          <w:rFonts w:hint="eastAsia"/>
          <w:color w:val="auto"/>
          <w:highlight w:val="none"/>
        </w:rPr>
        <w:t>日</w:t>
      </w:r>
    </w:p>
    <w:p>
      <w:pPr>
        <w:rPr>
          <w:color w:val="auto"/>
          <w:highlight w:val="none"/>
        </w:rPr>
      </w:pPr>
    </w:p>
    <w:sdt>
      <w:sdtPr>
        <w:rPr>
          <w:rFonts w:ascii="宋体" w:hAnsi="宋体" w:eastAsia="宋体" w:cs="Times New Roman"/>
          <w:kern w:val="2"/>
          <w:sz w:val="21"/>
          <w:szCs w:val="24"/>
          <w:lang w:val="en-US" w:eastAsia="zh-CN" w:bidi="ar-SA"/>
        </w:rPr>
        <w:id w:val="147460118"/>
        <w15:color w:val="DBDBDB"/>
        <w:docPartObj>
          <w:docPartGallery w:val="Table of Contents"/>
          <w:docPartUnique/>
        </w:docPartObj>
      </w:sdtPr>
      <w:sdtEndPr>
        <w:rPr>
          <w:rFonts w:ascii="宋体" w:hAnsi="宋体" w:eastAsia="宋体" w:cs="Times New Roman"/>
          <w:b/>
          <w:kern w:val="2"/>
          <w:sz w:val="21"/>
          <w:szCs w:val="24"/>
          <w:lang w:val="en-US" w:eastAsia="zh-CN" w:bidi="ar-SA"/>
        </w:rPr>
      </w:sdtEndPr>
      <w:sdtContent>
        <w:p>
          <w:pPr>
            <w:spacing w:before="0" w:beforeLines="0" w:after="0" w:afterLines="0" w:line="240" w:lineRule="auto"/>
            <w:ind w:left="0" w:leftChars="0" w:right="0" w:rightChars="0" w:firstLine="0" w:firstLineChars="0"/>
            <w:jc w:val="center"/>
            <w:rPr>
              <w:b/>
            </w:rPr>
          </w:pPr>
          <w:r>
            <w:fldChar w:fldCharType="begin"/>
          </w:r>
          <w:r>
            <w:instrText xml:space="preserve">TOC \o "1-2" \h \u </w:instrText>
          </w:r>
          <w:r>
            <w:fldChar w:fldCharType="separate"/>
          </w:r>
        </w:p>
        <w:p>
          <w:pPr>
            <w:pStyle w:val="32"/>
            <w:tabs>
              <w:tab w:val="right" w:leader="dot" w:pos="8306"/>
            </w:tabs>
            <w:rPr>
              <w:rFonts w:hint="eastAsia" w:ascii="仿宋" w:hAnsi="仿宋" w:eastAsia="仿宋" w:cs="仿宋"/>
              <w:b/>
              <w:sz w:val="24"/>
              <w:szCs w:val="24"/>
            </w:rPr>
          </w:pPr>
          <w:r>
            <w:rPr>
              <w:rFonts w:hint="eastAsia" w:ascii="仿宋" w:hAnsi="仿宋" w:eastAsia="仿宋" w:cs="仿宋"/>
              <w:b/>
              <w:sz w:val="24"/>
              <w:szCs w:val="24"/>
            </w:rPr>
            <w:fldChar w:fldCharType="begin"/>
          </w:r>
          <w:r>
            <w:rPr>
              <w:rFonts w:hint="eastAsia" w:ascii="仿宋" w:hAnsi="仿宋" w:eastAsia="仿宋" w:cs="仿宋"/>
              <w:b/>
              <w:sz w:val="24"/>
              <w:szCs w:val="24"/>
            </w:rPr>
            <w:instrText xml:space="preserve"> HYPERLINK \l _Toc23931 </w:instrText>
          </w:r>
          <w:r>
            <w:rPr>
              <w:rFonts w:hint="eastAsia" w:ascii="仿宋" w:hAnsi="仿宋" w:eastAsia="仿宋" w:cs="仿宋"/>
              <w:b/>
              <w:sz w:val="24"/>
              <w:szCs w:val="24"/>
            </w:rPr>
            <w:fldChar w:fldCharType="separate"/>
          </w:r>
          <w:r>
            <w:rPr>
              <w:rFonts w:hint="eastAsia" w:ascii="仿宋" w:hAnsi="仿宋" w:eastAsia="仿宋" w:cs="仿宋"/>
              <w:b/>
              <w:sz w:val="24"/>
              <w:szCs w:val="24"/>
              <w:highlight w:val="none"/>
            </w:rPr>
            <w:t xml:space="preserve">第一部分 </w:t>
          </w:r>
          <w:r>
            <w:rPr>
              <w:rFonts w:hint="eastAsia" w:ascii="仿宋" w:hAnsi="仿宋" w:eastAsia="仿宋" w:cs="仿宋"/>
              <w:b/>
              <w:sz w:val="24"/>
              <w:szCs w:val="24"/>
              <w:highlight w:val="none"/>
              <w:lang w:eastAsia="zh-CN"/>
            </w:rPr>
            <w:t>单位</w:t>
          </w:r>
          <w:r>
            <w:rPr>
              <w:rFonts w:hint="eastAsia" w:ascii="仿宋" w:hAnsi="仿宋" w:eastAsia="仿宋" w:cs="仿宋"/>
              <w:b/>
              <w:bCs w:val="0"/>
              <w:sz w:val="24"/>
              <w:szCs w:val="24"/>
              <w:highlight w:val="none"/>
            </w:rPr>
            <w:t>概况</w:t>
          </w:r>
          <w:r>
            <w:rPr>
              <w:rFonts w:hint="eastAsia" w:ascii="仿宋" w:hAnsi="仿宋" w:eastAsia="仿宋" w:cs="仿宋"/>
              <w:b/>
              <w:sz w:val="24"/>
              <w:szCs w:val="24"/>
            </w:rPr>
            <w:tab/>
          </w:r>
          <w:r>
            <w:rPr>
              <w:rFonts w:hint="eastAsia" w:ascii="仿宋" w:hAnsi="仿宋" w:eastAsia="仿宋" w:cs="仿宋"/>
              <w:b/>
              <w:sz w:val="24"/>
              <w:szCs w:val="24"/>
            </w:rPr>
            <w:fldChar w:fldCharType="begin"/>
          </w:r>
          <w:r>
            <w:rPr>
              <w:rFonts w:hint="eastAsia" w:ascii="仿宋" w:hAnsi="仿宋" w:eastAsia="仿宋" w:cs="仿宋"/>
              <w:b/>
              <w:sz w:val="24"/>
              <w:szCs w:val="24"/>
            </w:rPr>
            <w:instrText xml:space="preserve"> PAGEREF _Toc23931 \h </w:instrText>
          </w:r>
          <w:r>
            <w:rPr>
              <w:rFonts w:hint="eastAsia" w:ascii="仿宋" w:hAnsi="仿宋" w:eastAsia="仿宋" w:cs="仿宋"/>
              <w:b/>
              <w:sz w:val="24"/>
              <w:szCs w:val="24"/>
            </w:rPr>
            <w:fldChar w:fldCharType="separate"/>
          </w:r>
          <w:r>
            <w:rPr>
              <w:rFonts w:hint="eastAsia" w:ascii="仿宋" w:hAnsi="仿宋" w:eastAsia="仿宋" w:cs="仿宋"/>
              <w:b/>
              <w:sz w:val="24"/>
              <w:szCs w:val="24"/>
            </w:rPr>
            <w:t>3</w:t>
          </w:r>
          <w:r>
            <w:rPr>
              <w:rFonts w:hint="eastAsia" w:ascii="仿宋" w:hAnsi="仿宋" w:eastAsia="仿宋" w:cs="仿宋"/>
              <w:b/>
              <w:sz w:val="24"/>
              <w:szCs w:val="24"/>
            </w:rPr>
            <w:fldChar w:fldCharType="end"/>
          </w:r>
          <w:r>
            <w:rPr>
              <w:rFonts w:hint="eastAsia" w:ascii="仿宋" w:hAnsi="仿宋" w:eastAsia="仿宋" w:cs="仿宋"/>
              <w:b/>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_Toc32385 </w:instrText>
          </w:r>
          <w:r>
            <w:rPr>
              <w:rFonts w:hint="eastAsia" w:ascii="仿宋" w:hAnsi="仿宋" w:eastAsia="仿宋" w:cs="仿宋"/>
              <w:sz w:val="24"/>
              <w:szCs w:val="24"/>
            </w:rPr>
            <w:fldChar w:fldCharType="separate"/>
          </w:r>
          <w:r>
            <w:rPr>
              <w:rFonts w:hint="eastAsia" w:ascii="仿宋" w:hAnsi="仿宋" w:eastAsia="仿宋" w:cs="仿宋"/>
              <w:bCs w:val="0"/>
              <w:sz w:val="24"/>
              <w:szCs w:val="24"/>
              <w:lang w:eastAsia="zh-CN"/>
            </w:rPr>
            <w:t xml:space="preserve">一、 </w:t>
          </w:r>
          <w:r>
            <w:rPr>
              <w:rFonts w:hint="eastAsia" w:ascii="仿宋" w:hAnsi="仿宋" w:eastAsia="仿宋" w:cs="仿宋"/>
              <w:bCs w:val="0"/>
              <w:sz w:val="24"/>
              <w:szCs w:val="24"/>
              <w:highlight w:val="none"/>
              <w:lang w:eastAsia="zh-CN"/>
            </w:rPr>
            <w:t>主要职责</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_Toc32385 \h </w:instrText>
          </w:r>
          <w:r>
            <w:rPr>
              <w:rFonts w:hint="eastAsia" w:ascii="仿宋" w:hAnsi="仿宋" w:eastAsia="仿宋" w:cs="仿宋"/>
              <w:sz w:val="24"/>
              <w:szCs w:val="24"/>
            </w:rPr>
            <w:fldChar w:fldCharType="separate"/>
          </w:r>
          <w:r>
            <w:rPr>
              <w:rFonts w:hint="eastAsia" w:ascii="仿宋" w:hAnsi="仿宋" w:eastAsia="仿宋" w:cs="仿宋"/>
              <w:sz w:val="24"/>
              <w:szCs w:val="24"/>
            </w:rPr>
            <w:t>3</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lang w:val="en-US" w:eastAsia="zh-CN"/>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_Toc27196 </w:instrText>
          </w:r>
          <w:r>
            <w:rPr>
              <w:rFonts w:hint="eastAsia" w:ascii="仿宋" w:hAnsi="仿宋" w:eastAsia="仿宋" w:cs="仿宋"/>
              <w:sz w:val="24"/>
              <w:szCs w:val="24"/>
            </w:rPr>
            <w:fldChar w:fldCharType="separate"/>
          </w:r>
          <w:r>
            <w:rPr>
              <w:rFonts w:hint="eastAsia" w:ascii="仿宋" w:hAnsi="仿宋" w:eastAsia="仿宋" w:cs="仿宋"/>
              <w:sz w:val="24"/>
              <w:szCs w:val="24"/>
              <w:highlight w:val="none"/>
              <w:lang w:val="en-US" w:eastAsia="zh-CN"/>
            </w:rPr>
            <w:t>二、机构设置</w:t>
          </w:r>
          <w:r>
            <w:rPr>
              <w:rFonts w:hint="eastAsia" w:ascii="仿宋" w:hAnsi="仿宋" w:eastAsia="仿宋" w:cs="仿宋"/>
              <w:sz w:val="24"/>
              <w:szCs w:val="24"/>
            </w:rPr>
            <w:tab/>
          </w:r>
          <w:r>
            <w:rPr>
              <w:rFonts w:hint="eastAsia" w:ascii="仿宋" w:hAnsi="仿宋" w:eastAsia="仿宋" w:cs="仿宋"/>
              <w:sz w:val="24"/>
              <w:szCs w:val="24"/>
              <w:lang w:val="en-US" w:eastAsia="zh-CN"/>
            </w:rPr>
            <w:t>1</w:t>
          </w:r>
          <w:r>
            <w:rPr>
              <w:rFonts w:hint="eastAsia" w:ascii="仿宋" w:hAnsi="仿宋" w:eastAsia="仿宋" w:cs="仿宋"/>
              <w:sz w:val="24"/>
              <w:szCs w:val="24"/>
            </w:rPr>
            <w:fldChar w:fldCharType="end"/>
          </w:r>
          <w:r>
            <w:rPr>
              <w:rFonts w:hint="eastAsia" w:ascii="仿宋" w:hAnsi="仿宋" w:eastAsia="仿宋" w:cs="仿宋"/>
              <w:sz w:val="24"/>
              <w:szCs w:val="24"/>
              <w:lang w:val="en-US" w:eastAsia="zh-CN"/>
            </w:rPr>
            <w:t>2</w:t>
          </w:r>
        </w:p>
        <w:p>
          <w:pPr>
            <w:pStyle w:val="32"/>
            <w:tabs>
              <w:tab w:val="right" w:leader="dot" w:pos="8306"/>
            </w:tabs>
            <w:rPr>
              <w:rFonts w:hint="eastAsia" w:ascii="仿宋" w:hAnsi="仿宋" w:eastAsia="仿宋" w:cs="仿宋"/>
              <w:b/>
              <w:sz w:val="24"/>
              <w:szCs w:val="24"/>
            </w:rPr>
          </w:pPr>
          <w:r>
            <w:rPr>
              <w:rFonts w:hint="eastAsia" w:ascii="仿宋" w:hAnsi="仿宋" w:eastAsia="仿宋" w:cs="仿宋"/>
              <w:b/>
              <w:sz w:val="24"/>
              <w:szCs w:val="24"/>
            </w:rPr>
            <w:fldChar w:fldCharType="begin"/>
          </w:r>
          <w:r>
            <w:rPr>
              <w:rFonts w:hint="eastAsia" w:ascii="仿宋" w:hAnsi="仿宋" w:eastAsia="仿宋" w:cs="仿宋"/>
              <w:b/>
              <w:sz w:val="24"/>
              <w:szCs w:val="24"/>
            </w:rPr>
            <w:instrText xml:space="preserve"> HYPERLINK \l _Toc13969 </w:instrText>
          </w:r>
          <w:r>
            <w:rPr>
              <w:rFonts w:hint="eastAsia" w:ascii="仿宋" w:hAnsi="仿宋" w:eastAsia="仿宋" w:cs="仿宋"/>
              <w:b/>
              <w:sz w:val="24"/>
              <w:szCs w:val="24"/>
            </w:rPr>
            <w:fldChar w:fldCharType="separate"/>
          </w:r>
          <w:r>
            <w:rPr>
              <w:rFonts w:hint="eastAsia" w:ascii="仿宋" w:hAnsi="仿宋" w:eastAsia="仿宋" w:cs="仿宋"/>
              <w:b/>
              <w:bCs/>
              <w:sz w:val="24"/>
              <w:szCs w:val="24"/>
              <w:highlight w:val="none"/>
            </w:rPr>
            <w:t xml:space="preserve">第二部分 </w:t>
          </w:r>
          <w:r>
            <w:rPr>
              <w:rFonts w:hint="eastAsia" w:ascii="仿宋" w:hAnsi="仿宋" w:eastAsia="仿宋" w:cs="仿宋"/>
              <w:b/>
              <w:bCs/>
              <w:sz w:val="24"/>
              <w:szCs w:val="24"/>
              <w:highlight w:val="none"/>
              <w:lang w:val="en-US" w:eastAsia="zh-CN"/>
            </w:rPr>
            <w:t>2022年度</w:t>
          </w:r>
          <w:r>
            <w:rPr>
              <w:rFonts w:hint="eastAsia" w:ascii="仿宋" w:hAnsi="仿宋" w:eastAsia="仿宋" w:cs="仿宋"/>
              <w:b/>
              <w:bCs/>
              <w:sz w:val="24"/>
              <w:szCs w:val="24"/>
              <w:highlight w:val="none"/>
              <w:lang w:eastAsia="zh-CN"/>
            </w:rPr>
            <w:t>单位</w:t>
          </w:r>
          <w:r>
            <w:rPr>
              <w:rFonts w:hint="eastAsia" w:ascii="仿宋" w:hAnsi="仿宋" w:eastAsia="仿宋" w:cs="仿宋"/>
              <w:b/>
              <w:bCs/>
              <w:sz w:val="24"/>
              <w:szCs w:val="24"/>
              <w:highlight w:val="none"/>
            </w:rPr>
            <w:t>决算情况说明</w:t>
          </w:r>
          <w:r>
            <w:rPr>
              <w:rFonts w:hint="eastAsia" w:ascii="仿宋" w:hAnsi="仿宋" w:eastAsia="仿宋" w:cs="仿宋"/>
              <w:b/>
              <w:sz w:val="24"/>
              <w:szCs w:val="24"/>
            </w:rPr>
            <w:tab/>
          </w:r>
          <w:r>
            <w:rPr>
              <w:rFonts w:hint="eastAsia" w:ascii="仿宋" w:hAnsi="仿宋" w:eastAsia="仿宋" w:cs="仿宋"/>
              <w:b/>
              <w:sz w:val="24"/>
              <w:szCs w:val="24"/>
            </w:rPr>
            <w:fldChar w:fldCharType="begin"/>
          </w:r>
          <w:r>
            <w:rPr>
              <w:rFonts w:hint="eastAsia" w:ascii="仿宋" w:hAnsi="仿宋" w:eastAsia="仿宋" w:cs="仿宋"/>
              <w:b/>
              <w:sz w:val="24"/>
              <w:szCs w:val="24"/>
            </w:rPr>
            <w:instrText xml:space="preserve"> PAGEREF _Toc13969 \h </w:instrText>
          </w:r>
          <w:r>
            <w:rPr>
              <w:rFonts w:hint="eastAsia" w:ascii="仿宋" w:hAnsi="仿宋" w:eastAsia="仿宋" w:cs="仿宋"/>
              <w:b/>
              <w:sz w:val="24"/>
              <w:szCs w:val="24"/>
            </w:rPr>
            <w:fldChar w:fldCharType="separate"/>
          </w:r>
          <w:r>
            <w:rPr>
              <w:rFonts w:hint="eastAsia" w:ascii="仿宋" w:hAnsi="仿宋" w:eastAsia="仿宋" w:cs="仿宋"/>
              <w:b/>
              <w:sz w:val="24"/>
              <w:szCs w:val="24"/>
            </w:rPr>
            <w:t>13</w:t>
          </w:r>
          <w:r>
            <w:rPr>
              <w:rFonts w:hint="eastAsia" w:ascii="仿宋" w:hAnsi="仿宋" w:eastAsia="仿宋" w:cs="仿宋"/>
              <w:b/>
              <w:sz w:val="24"/>
              <w:szCs w:val="24"/>
            </w:rPr>
            <w:fldChar w:fldCharType="end"/>
          </w:r>
          <w:r>
            <w:rPr>
              <w:rFonts w:hint="eastAsia" w:ascii="仿宋" w:hAnsi="仿宋" w:eastAsia="仿宋" w:cs="仿宋"/>
              <w:b/>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_Toc28466 </w:instrText>
          </w:r>
          <w:r>
            <w:rPr>
              <w:rFonts w:hint="eastAsia" w:ascii="仿宋" w:hAnsi="仿宋" w:eastAsia="仿宋" w:cs="仿宋"/>
              <w:sz w:val="24"/>
              <w:szCs w:val="24"/>
            </w:rPr>
            <w:fldChar w:fldCharType="separate"/>
          </w:r>
          <w:r>
            <w:rPr>
              <w:rFonts w:hint="eastAsia" w:ascii="仿宋" w:hAnsi="仿宋" w:eastAsia="仿宋" w:cs="仿宋"/>
              <w:sz w:val="24"/>
              <w:szCs w:val="24"/>
            </w:rPr>
            <w:t xml:space="preserve">一、 </w:t>
          </w:r>
          <w:r>
            <w:rPr>
              <w:rFonts w:hint="eastAsia" w:ascii="仿宋" w:hAnsi="仿宋" w:eastAsia="仿宋" w:cs="仿宋"/>
              <w:sz w:val="24"/>
              <w:szCs w:val="24"/>
              <w:highlight w:val="none"/>
            </w:rPr>
            <w:t>收入支出决算总体情况说明</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_Toc28466 \h </w:instrText>
          </w:r>
          <w:r>
            <w:rPr>
              <w:rFonts w:hint="eastAsia" w:ascii="仿宋" w:hAnsi="仿宋" w:eastAsia="仿宋" w:cs="仿宋"/>
              <w:sz w:val="24"/>
              <w:szCs w:val="24"/>
            </w:rPr>
            <w:fldChar w:fldCharType="separate"/>
          </w:r>
          <w:r>
            <w:rPr>
              <w:rFonts w:hint="eastAsia" w:ascii="仿宋" w:hAnsi="仿宋" w:eastAsia="仿宋" w:cs="仿宋"/>
              <w:sz w:val="24"/>
              <w:szCs w:val="24"/>
            </w:rPr>
            <w:t>13</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_Toc18401 </w:instrText>
          </w:r>
          <w:r>
            <w:rPr>
              <w:rFonts w:hint="eastAsia" w:ascii="仿宋" w:hAnsi="仿宋" w:eastAsia="仿宋" w:cs="仿宋"/>
              <w:sz w:val="24"/>
              <w:szCs w:val="24"/>
            </w:rPr>
            <w:fldChar w:fldCharType="separate"/>
          </w:r>
          <w:r>
            <w:rPr>
              <w:rFonts w:hint="eastAsia" w:ascii="仿宋" w:hAnsi="仿宋" w:eastAsia="仿宋" w:cs="仿宋"/>
              <w:sz w:val="24"/>
              <w:szCs w:val="24"/>
            </w:rPr>
            <w:t xml:space="preserve">二、 </w:t>
          </w:r>
          <w:r>
            <w:rPr>
              <w:rFonts w:hint="eastAsia" w:ascii="仿宋" w:hAnsi="仿宋" w:eastAsia="仿宋" w:cs="仿宋"/>
              <w:sz w:val="24"/>
              <w:szCs w:val="24"/>
              <w:highlight w:val="none"/>
            </w:rPr>
            <w:t>收入决算情况说明</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_Toc18401 \h </w:instrText>
          </w:r>
          <w:r>
            <w:rPr>
              <w:rFonts w:hint="eastAsia" w:ascii="仿宋" w:hAnsi="仿宋" w:eastAsia="仿宋" w:cs="仿宋"/>
              <w:sz w:val="24"/>
              <w:szCs w:val="24"/>
            </w:rPr>
            <w:fldChar w:fldCharType="separate"/>
          </w:r>
          <w:r>
            <w:rPr>
              <w:rFonts w:hint="eastAsia" w:ascii="仿宋" w:hAnsi="仿宋" w:eastAsia="仿宋" w:cs="仿宋"/>
              <w:sz w:val="24"/>
              <w:szCs w:val="24"/>
            </w:rPr>
            <w:t>13</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_Toc19991 </w:instrText>
          </w:r>
          <w:r>
            <w:rPr>
              <w:rFonts w:hint="eastAsia" w:ascii="仿宋" w:hAnsi="仿宋" w:eastAsia="仿宋" w:cs="仿宋"/>
              <w:sz w:val="24"/>
              <w:szCs w:val="24"/>
            </w:rPr>
            <w:fldChar w:fldCharType="separate"/>
          </w:r>
          <w:r>
            <w:rPr>
              <w:rFonts w:hint="eastAsia" w:ascii="仿宋" w:hAnsi="仿宋" w:eastAsia="仿宋" w:cs="仿宋"/>
              <w:sz w:val="24"/>
              <w:szCs w:val="24"/>
            </w:rPr>
            <w:t xml:space="preserve">三、 </w:t>
          </w:r>
          <w:r>
            <w:rPr>
              <w:rFonts w:hint="eastAsia" w:ascii="仿宋" w:hAnsi="仿宋" w:eastAsia="仿宋" w:cs="仿宋"/>
              <w:sz w:val="24"/>
              <w:szCs w:val="24"/>
              <w:highlight w:val="none"/>
            </w:rPr>
            <w:t>支出决算情况说明</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_Toc19991 \h </w:instrText>
          </w:r>
          <w:r>
            <w:rPr>
              <w:rFonts w:hint="eastAsia" w:ascii="仿宋" w:hAnsi="仿宋" w:eastAsia="仿宋" w:cs="仿宋"/>
              <w:sz w:val="24"/>
              <w:szCs w:val="24"/>
            </w:rPr>
            <w:fldChar w:fldCharType="separate"/>
          </w:r>
          <w:r>
            <w:rPr>
              <w:rFonts w:hint="eastAsia" w:ascii="仿宋" w:hAnsi="仿宋" w:eastAsia="仿宋" w:cs="仿宋"/>
              <w:sz w:val="24"/>
              <w:szCs w:val="24"/>
            </w:rPr>
            <w:t>14</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_Toc16957 </w:instrText>
          </w:r>
          <w:r>
            <w:rPr>
              <w:rFonts w:hint="eastAsia" w:ascii="仿宋" w:hAnsi="仿宋" w:eastAsia="仿宋" w:cs="仿宋"/>
              <w:sz w:val="24"/>
              <w:szCs w:val="24"/>
            </w:rPr>
            <w:fldChar w:fldCharType="separate"/>
          </w:r>
          <w:r>
            <w:rPr>
              <w:rFonts w:hint="eastAsia" w:ascii="仿宋" w:hAnsi="仿宋" w:eastAsia="仿宋" w:cs="仿宋"/>
              <w:sz w:val="24"/>
              <w:szCs w:val="24"/>
              <w:highlight w:val="none"/>
            </w:rPr>
            <w:t>四、财政拨款收入支出决算总体情况说明</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_Toc16957 \h </w:instrText>
          </w:r>
          <w:r>
            <w:rPr>
              <w:rFonts w:hint="eastAsia" w:ascii="仿宋" w:hAnsi="仿宋" w:eastAsia="仿宋" w:cs="仿宋"/>
              <w:sz w:val="24"/>
              <w:szCs w:val="24"/>
            </w:rPr>
            <w:fldChar w:fldCharType="separate"/>
          </w:r>
          <w:r>
            <w:rPr>
              <w:rFonts w:hint="eastAsia" w:ascii="仿宋" w:hAnsi="仿宋" w:eastAsia="仿宋" w:cs="仿宋"/>
              <w:sz w:val="24"/>
              <w:szCs w:val="24"/>
            </w:rPr>
            <w:t>15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_Toc21770 </w:instrText>
          </w:r>
          <w:r>
            <w:rPr>
              <w:rFonts w:hint="eastAsia" w:ascii="仿宋" w:hAnsi="仿宋" w:eastAsia="仿宋" w:cs="仿宋"/>
              <w:sz w:val="24"/>
              <w:szCs w:val="24"/>
            </w:rPr>
            <w:fldChar w:fldCharType="separate"/>
          </w:r>
          <w:r>
            <w:rPr>
              <w:rFonts w:hint="eastAsia" w:ascii="仿宋" w:hAnsi="仿宋" w:eastAsia="仿宋" w:cs="仿宋"/>
              <w:sz w:val="24"/>
              <w:szCs w:val="24"/>
              <w:highlight w:val="none"/>
            </w:rPr>
            <w:t>五、一般公共预算财政拨款支出决算情况说明</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_Toc21770 \h </w:instrText>
          </w:r>
          <w:r>
            <w:rPr>
              <w:rFonts w:hint="eastAsia" w:ascii="仿宋" w:hAnsi="仿宋" w:eastAsia="仿宋" w:cs="仿宋"/>
              <w:sz w:val="24"/>
              <w:szCs w:val="24"/>
            </w:rPr>
            <w:fldChar w:fldCharType="separate"/>
          </w:r>
          <w:r>
            <w:rPr>
              <w:rFonts w:hint="eastAsia" w:ascii="仿宋" w:hAnsi="仿宋" w:eastAsia="仿宋" w:cs="仿宋"/>
              <w:sz w:val="24"/>
              <w:szCs w:val="24"/>
            </w:rPr>
            <w:t>15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_Toc17223 </w:instrText>
          </w:r>
          <w:r>
            <w:rPr>
              <w:rFonts w:hint="eastAsia" w:ascii="仿宋" w:hAnsi="仿宋" w:eastAsia="仿宋" w:cs="仿宋"/>
              <w:sz w:val="24"/>
              <w:szCs w:val="24"/>
            </w:rPr>
            <w:fldChar w:fldCharType="separate"/>
          </w:r>
          <w:r>
            <w:rPr>
              <w:rFonts w:hint="eastAsia" w:ascii="仿宋" w:hAnsi="仿宋" w:eastAsia="仿宋" w:cs="仿宋"/>
              <w:sz w:val="24"/>
              <w:szCs w:val="24"/>
              <w:highlight w:val="none"/>
            </w:rPr>
            <w:t>六、一般公共预算财政拨款基本支出决算情况说明</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_Toc17223 \h </w:instrText>
          </w:r>
          <w:r>
            <w:rPr>
              <w:rFonts w:hint="eastAsia" w:ascii="仿宋" w:hAnsi="仿宋" w:eastAsia="仿宋" w:cs="仿宋"/>
              <w:sz w:val="24"/>
              <w:szCs w:val="24"/>
            </w:rPr>
            <w:fldChar w:fldCharType="separate"/>
          </w:r>
          <w:r>
            <w:rPr>
              <w:rFonts w:hint="eastAsia" w:ascii="仿宋" w:hAnsi="仿宋" w:eastAsia="仿宋" w:cs="仿宋"/>
              <w:sz w:val="24"/>
              <w:szCs w:val="24"/>
            </w:rPr>
            <w:t>19</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_Toc17676 </w:instrText>
          </w:r>
          <w:r>
            <w:rPr>
              <w:rFonts w:hint="eastAsia" w:ascii="仿宋" w:hAnsi="仿宋" w:eastAsia="仿宋" w:cs="仿宋"/>
              <w:sz w:val="24"/>
              <w:szCs w:val="24"/>
            </w:rPr>
            <w:fldChar w:fldCharType="separate"/>
          </w:r>
          <w:r>
            <w:rPr>
              <w:rFonts w:hint="eastAsia" w:ascii="仿宋" w:hAnsi="仿宋" w:eastAsia="仿宋" w:cs="仿宋"/>
              <w:sz w:val="24"/>
              <w:szCs w:val="24"/>
              <w:highlight w:val="none"/>
            </w:rPr>
            <w:t>七、财政拨款“三公”经费支出决算情况说明</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_Toc17676 \h </w:instrText>
          </w:r>
          <w:r>
            <w:rPr>
              <w:rFonts w:hint="eastAsia" w:ascii="仿宋" w:hAnsi="仿宋" w:eastAsia="仿宋" w:cs="仿宋"/>
              <w:sz w:val="24"/>
              <w:szCs w:val="24"/>
            </w:rPr>
            <w:fldChar w:fldCharType="separate"/>
          </w:r>
          <w:r>
            <w:rPr>
              <w:rFonts w:hint="eastAsia" w:ascii="仿宋" w:hAnsi="仿宋" w:eastAsia="仿宋" w:cs="仿宋"/>
              <w:sz w:val="24"/>
              <w:szCs w:val="24"/>
            </w:rPr>
            <w:t>19</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_Toc21677 </w:instrText>
          </w:r>
          <w:r>
            <w:rPr>
              <w:rFonts w:hint="eastAsia" w:ascii="仿宋" w:hAnsi="仿宋" w:eastAsia="仿宋" w:cs="仿宋"/>
              <w:sz w:val="24"/>
              <w:szCs w:val="24"/>
            </w:rPr>
            <w:fldChar w:fldCharType="separate"/>
          </w:r>
          <w:r>
            <w:rPr>
              <w:rFonts w:hint="eastAsia" w:ascii="仿宋" w:hAnsi="仿宋" w:eastAsia="仿宋" w:cs="仿宋"/>
              <w:sz w:val="24"/>
              <w:szCs w:val="24"/>
              <w:highlight w:val="none"/>
            </w:rPr>
            <w:t>八、政府性基金预算支出决算情况说明</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_Toc21677 \h </w:instrText>
          </w:r>
          <w:r>
            <w:rPr>
              <w:rFonts w:hint="eastAsia" w:ascii="仿宋" w:hAnsi="仿宋" w:eastAsia="仿宋" w:cs="仿宋"/>
              <w:sz w:val="24"/>
              <w:szCs w:val="24"/>
            </w:rPr>
            <w:fldChar w:fldCharType="separate"/>
          </w:r>
          <w:r>
            <w:rPr>
              <w:rFonts w:hint="eastAsia" w:ascii="仿宋" w:hAnsi="仿宋" w:eastAsia="仿宋" w:cs="仿宋"/>
              <w:sz w:val="24"/>
              <w:szCs w:val="24"/>
            </w:rPr>
            <w:t>21</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_Toc19310 </w:instrText>
          </w:r>
          <w:r>
            <w:rPr>
              <w:rFonts w:hint="eastAsia" w:ascii="仿宋" w:hAnsi="仿宋" w:eastAsia="仿宋" w:cs="仿宋"/>
              <w:sz w:val="24"/>
              <w:szCs w:val="24"/>
            </w:rPr>
            <w:fldChar w:fldCharType="separate"/>
          </w:r>
          <w:r>
            <w:rPr>
              <w:rFonts w:hint="eastAsia" w:ascii="仿宋" w:hAnsi="仿宋" w:eastAsia="仿宋" w:cs="仿宋"/>
              <w:sz w:val="24"/>
              <w:szCs w:val="24"/>
            </w:rPr>
            <w:t xml:space="preserve">九、 </w:t>
          </w:r>
          <w:r>
            <w:rPr>
              <w:rFonts w:hint="eastAsia" w:ascii="仿宋" w:hAnsi="仿宋" w:eastAsia="仿宋" w:cs="仿宋"/>
              <w:sz w:val="24"/>
              <w:szCs w:val="24"/>
              <w:highlight w:val="none"/>
            </w:rPr>
            <w:t>国有资本经营预算支出决算情况说明</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_Toc19310 \h </w:instrText>
          </w:r>
          <w:r>
            <w:rPr>
              <w:rFonts w:hint="eastAsia" w:ascii="仿宋" w:hAnsi="仿宋" w:eastAsia="仿宋" w:cs="仿宋"/>
              <w:sz w:val="24"/>
              <w:szCs w:val="24"/>
            </w:rPr>
            <w:fldChar w:fldCharType="separate"/>
          </w:r>
          <w:r>
            <w:rPr>
              <w:rFonts w:hint="eastAsia" w:ascii="仿宋" w:hAnsi="仿宋" w:eastAsia="仿宋" w:cs="仿宋"/>
              <w:sz w:val="24"/>
              <w:szCs w:val="24"/>
            </w:rPr>
            <w:t>21</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_Toc2285 </w:instrText>
          </w:r>
          <w:r>
            <w:rPr>
              <w:rFonts w:hint="eastAsia" w:ascii="仿宋" w:hAnsi="仿宋" w:eastAsia="仿宋" w:cs="仿宋"/>
              <w:sz w:val="24"/>
              <w:szCs w:val="24"/>
            </w:rPr>
            <w:fldChar w:fldCharType="separate"/>
          </w:r>
          <w:r>
            <w:rPr>
              <w:rFonts w:hint="eastAsia" w:ascii="仿宋" w:hAnsi="仿宋" w:eastAsia="仿宋" w:cs="仿宋"/>
              <w:sz w:val="24"/>
              <w:szCs w:val="24"/>
            </w:rPr>
            <w:t xml:space="preserve">十、 </w:t>
          </w:r>
          <w:r>
            <w:rPr>
              <w:rFonts w:hint="eastAsia" w:ascii="仿宋" w:hAnsi="仿宋" w:eastAsia="仿宋" w:cs="仿宋"/>
              <w:sz w:val="24"/>
              <w:szCs w:val="24"/>
              <w:highlight w:val="none"/>
            </w:rPr>
            <w:t>其他重要事项的情况说明</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_Toc2285 \h </w:instrText>
          </w:r>
          <w:r>
            <w:rPr>
              <w:rFonts w:hint="eastAsia" w:ascii="仿宋" w:hAnsi="仿宋" w:eastAsia="仿宋" w:cs="仿宋"/>
              <w:sz w:val="24"/>
              <w:szCs w:val="24"/>
            </w:rPr>
            <w:fldChar w:fldCharType="separate"/>
          </w:r>
          <w:r>
            <w:rPr>
              <w:rFonts w:hint="eastAsia" w:ascii="仿宋" w:hAnsi="仿宋" w:eastAsia="仿宋" w:cs="仿宋"/>
              <w:sz w:val="24"/>
              <w:szCs w:val="24"/>
            </w:rPr>
            <w:t>21</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2"/>
            <w:tabs>
              <w:tab w:val="right" w:leader="dot" w:pos="8306"/>
            </w:tabs>
            <w:rPr>
              <w:rFonts w:hint="eastAsia" w:ascii="仿宋" w:hAnsi="仿宋" w:eastAsia="仿宋" w:cs="仿宋"/>
              <w:b/>
              <w:sz w:val="24"/>
              <w:szCs w:val="24"/>
            </w:rPr>
          </w:pPr>
          <w:r>
            <w:rPr>
              <w:rFonts w:hint="eastAsia" w:ascii="仿宋" w:hAnsi="仿宋" w:eastAsia="仿宋" w:cs="仿宋"/>
              <w:b/>
              <w:sz w:val="24"/>
              <w:szCs w:val="24"/>
            </w:rPr>
            <w:fldChar w:fldCharType="begin"/>
          </w:r>
          <w:r>
            <w:rPr>
              <w:rFonts w:hint="eastAsia" w:ascii="仿宋" w:hAnsi="仿宋" w:eastAsia="仿宋" w:cs="仿宋"/>
              <w:b/>
              <w:sz w:val="24"/>
              <w:szCs w:val="24"/>
            </w:rPr>
            <w:instrText xml:space="preserve"> HYPERLINK \l _Toc29468 </w:instrText>
          </w:r>
          <w:r>
            <w:rPr>
              <w:rFonts w:hint="eastAsia" w:ascii="仿宋" w:hAnsi="仿宋" w:eastAsia="仿宋" w:cs="仿宋"/>
              <w:b/>
              <w:sz w:val="24"/>
              <w:szCs w:val="24"/>
            </w:rPr>
            <w:fldChar w:fldCharType="separate"/>
          </w:r>
          <w:r>
            <w:rPr>
              <w:rFonts w:hint="eastAsia" w:ascii="仿宋" w:hAnsi="仿宋" w:eastAsia="仿宋" w:cs="仿宋"/>
              <w:b/>
              <w:sz w:val="24"/>
              <w:szCs w:val="24"/>
            </w:rPr>
            <w:t xml:space="preserve">第三部分 </w:t>
          </w:r>
          <w:r>
            <w:rPr>
              <w:rFonts w:hint="eastAsia" w:ascii="仿宋" w:hAnsi="仿宋" w:eastAsia="仿宋" w:cs="仿宋"/>
              <w:b/>
              <w:sz w:val="24"/>
              <w:szCs w:val="24"/>
              <w:highlight w:val="none"/>
            </w:rPr>
            <w:t>名词解释</w:t>
          </w:r>
          <w:r>
            <w:rPr>
              <w:rFonts w:hint="eastAsia" w:ascii="仿宋" w:hAnsi="仿宋" w:eastAsia="仿宋" w:cs="仿宋"/>
              <w:b/>
              <w:sz w:val="24"/>
              <w:szCs w:val="24"/>
            </w:rPr>
            <w:tab/>
          </w:r>
          <w:r>
            <w:rPr>
              <w:rFonts w:hint="eastAsia" w:ascii="仿宋" w:hAnsi="仿宋" w:eastAsia="仿宋" w:cs="仿宋"/>
              <w:b/>
              <w:sz w:val="24"/>
              <w:szCs w:val="24"/>
            </w:rPr>
            <w:fldChar w:fldCharType="begin"/>
          </w:r>
          <w:r>
            <w:rPr>
              <w:rFonts w:hint="eastAsia" w:ascii="仿宋" w:hAnsi="仿宋" w:eastAsia="仿宋" w:cs="仿宋"/>
              <w:b/>
              <w:sz w:val="24"/>
              <w:szCs w:val="24"/>
            </w:rPr>
            <w:instrText xml:space="preserve"> PAGEREF _Toc29468 \h </w:instrText>
          </w:r>
          <w:r>
            <w:rPr>
              <w:rFonts w:hint="eastAsia" w:ascii="仿宋" w:hAnsi="仿宋" w:eastAsia="仿宋" w:cs="仿宋"/>
              <w:b/>
              <w:sz w:val="24"/>
              <w:szCs w:val="24"/>
            </w:rPr>
            <w:fldChar w:fldCharType="separate"/>
          </w:r>
          <w:r>
            <w:rPr>
              <w:rFonts w:hint="eastAsia" w:ascii="仿宋" w:hAnsi="仿宋" w:eastAsia="仿宋" w:cs="仿宋"/>
              <w:b/>
              <w:sz w:val="24"/>
              <w:szCs w:val="24"/>
            </w:rPr>
            <w:t>23</w:t>
          </w:r>
          <w:r>
            <w:rPr>
              <w:rFonts w:hint="eastAsia" w:ascii="仿宋" w:hAnsi="仿宋" w:eastAsia="仿宋" w:cs="仿宋"/>
              <w:b/>
              <w:sz w:val="24"/>
              <w:szCs w:val="24"/>
            </w:rPr>
            <w:fldChar w:fldCharType="end"/>
          </w:r>
          <w:r>
            <w:rPr>
              <w:rFonts w:hint="eastAsia" w:ascii="仿宋" w:hAnsi="仿宋" w:eastAsia="仿宋" w:cs="仿宋"/>
              <w:b/>
              <w:sz w:val="24"/>
              <w:szCs w:val="24"/>
            </w:rPr>
            <w:fldChar w:fldCharType="end"/>
          </w:r>
        </w:p>
        <w:p>
          <w:pPr>
            <w:pStyle w:val="32"/>
            <w:tabs>
              <w:tab w:val="right" w:leader="dot" w:pos="8306"/>
            </w:tabs>
            <w:rPr>
              <w:rFonts w:hint="eastAsia" w:ascii="仿宋" w:hAnsi="仿宋" w:eastAsia="仿宋" w:cs="仿宋"/>
              <w:b/>
              <w:sz w:val="24"/>
              <w:szCs w:val="24"/>
            </w:rPr>
          </w:pPr>
          <w:r>
            <w:rPr>
              <w:rFonts w:hint="eastAsia" w:ascii="仿宋" w:hAnsi="仿宋" w:eastAsia="仿宋" w:cs="仿宋"/>
              <w:b/>
              <w:sz w:val="24"/>
              <w:szCs w:val="24"/>
            </w:rPr>
            <w:fldChar w:fldCharType="begin"/>
          </w:r>
          <w:r>
            <w:rPr>
              <w:rFonts w:hint="eastAsia" w:ascii="仿宋" w:hAnsi="仿宋" w:eastAsia="仿宋" w:cs="仿宋"/>
              <w:b/>
              <w:sz w:val="24"/>
              <w:szCs w:val="24"/>
            </w:rPr>
            <w:instrText xml:space="preserve"> HYPERLINK \l _Toc29883 </w:instrText>
          </w:r>
          <w:r>
            <w:rPr>
              <w:rFonts w:hint="eastAsia" w:ascii="仿宋" w:hAnsi="仿宋" w:eastAsia="仿宋" w:cs="仿宋"/>
              <w:b/>
              <w:sz w:val="24"/>
              <w:szCs w:val="24"/>
            </w:rPr>
            <w:fldChar w:fldCharType="separate"/>
          </w:r>
          <w:r>
            <w:rPr>
              <w:rFonts w:hint="eastAsia" w:ascii="仿宋" w:hAnsi="仿宋" w:eastAsia="仿宋" w:cs="仿宋"/>
              <w:b/>
              <w:sz w:val="24"/>
              <w:szCs w:val="24"/>
              <w:highlight w:val="none"/>
            </w:rPr>
            <w:t>第四部分 附件</w:t>
          </w:r>
          <w:r>
            <w:rPr>
              <w:rFonts w:hint="eastAsia" w:ascii="仿宋" w:hAnsi="仿宋" w:eastAsia="仿宋" w:cs="仿宋"/>
              <w:b/>
              <w:sz w:val="24"/>
              <w:szCs w:val="24"/>
            </w:rPr>
            <w:tab/>
          </w:r>
          <w:r>
            <w:rPr>
              <w:rFonts w:hint="eastAsia" w:ascii="仿宋" w:hAnsi="仿宋" w:eastAsia="仿宋" w:cs="仿宋"/>
              <w:b/>
              <w:sz w:val="24"/>
              <w:szCs w:val="24"/>
            </w:rPr>
            <w:fldChar w:fldCharType="begin"/>
          </w:r>
          <w:r>
            <w:rPr>
              <w:rFonts w:hint="eastAsia" w:ascii="仿宋" w:hAnsi="仿宋" w:eastAsia="仿宋" w:cs="仿宋"/>
              <w:b/>
              <w:sz w:val="24"/>
              <w:szCs w:val="24"/>
            </w:rPr>
            <w:instrText xml:space="preserve"> PAGEREF _Toc29883 \h </w:instrText>
          </w:r>
          <w:r>
            <w:rPr>
              <w:rFonts w:hint="eastAsia" w:ascii="仿宋" w:hAnsi="仿宋" w:eastAsia="仿宋" w:cs="仿宋"/>
              <w:b/>
              <w:sz w:val="24"/>
              <w:szCs w:val="24"/>
            </w:rPr>
            <w:fldChar w:fldCharType="separate"/>
          </w:r>
          <w:r>
            <w:rPr>
              <w:rFonts w:hint="eastAsia" w:ascii="仿宋" w:hAnsi="仿宋" w:eastAsia="仿宋" w:cs="仿宋"/>
              <w:b/>
              <w:sz w:val="24"/>
              <w:szCs w:val="24"/>
            </w:rPr>
            <w:t>26</w:t>
          </w:r>
          <w:r>
            <w:rPr>
              <w:rFonts w:hint="eastAsia" w:ascii="仿宋" w:hAnsi="仿宋" w:eastAsia="仿宋" w:cs="仿宋"/>
              <w:b/>
              <w:sz w:val="24"/>
              <w:szCs w:val="24"/>
            </w:rPr>
            <w:fldChar w:fldCharType="end"/>
          </w:r>
          <w:r>
            <w:rPr>
              <w:rFonts w:hint="eastAsia" w:ascii="仿宋" w:hAnsi="仿宋" w:eastAsia="仿宋" w:cs="仿宋"/>
              <w:b/>
              <w:sz w:val="24"/>
              <w:szCs w:val="24"/>
            </w:rPr>
            <w:fldChar w:fldCharType="end"/>
          </w:r>
        </w:p>
        <w:p>
          <w:pPr>
            <w:pStyle w:val="32"/>
            <w:tabs>
              <w:tab w:val="right" w:leader="dot" w:pos="8306"/>
            </w:tabs>
            <w:rPr>
              <w:rFonts w:hint="eastAsia" w:ascii="仿宋" w:hAnsi="仿宋" w:eastAsia="仿宋" w:cs="仿宋"/>
              <w:b/>
              <w:sz w:val="24"/>
              <w:szCs w:val="24"/>
            </w:rPr>
          </w:pPr>
          <w:r>
            <w:rPr>
              <w:rFonts w:hint="eastAsia" w:ascii="仿宋" w:hAnsi="仿宋" w:eastAsia="仿宋" w:cs="仿宋"/>
              <w:b/>
              <w:sz w:val="24"/>
              <w:szCs w:val="24"/>
            </w:rPr>
            <w:fldChar w:fldCharType="begin"/>
          </w:r>
          <w:r>
            <w:rPr>
              <w:rFonts w:hint="eastAsia" w:ascii="仿宋" w:hAnsi="仿宋" w:eastAsia="仿宋" w:cs="仿宋"/>
              <w:b/>
              <w:sz w:val="24"/>
              <w:szCs w:val="24"/>
            </w:rPr>
            <w:instrText xml:space="preserve"> HYPERLINK \l _Toc23972 </w:instrText>
          </w:r>
          <w:r>
            <w:rPr>
              <w:rFonts w:hint="eastAsia" w:ascii="仿宋" w:hAnsi="仿宋" w:eastAsia="仿宋" w:cs="仿宋"/>
              <w:b/>
              <w:sz w:val="24"/>
              <w:szCs w:val="24"/>
            </w:rPr>
            <w:fldChar w:fldCharType="separate"/>
          </w:r>
          <w:r>
            <w:rPr>
              <w:rFonts w:hint="eastAsia" w:ascii="仿宋" w:hAnsi="仿宋" w:eastAsia="仿宋" w:cs="仿宋"/>
              <w:b/>
              <w:sz w:val="24"/>
              <w:szCs w:val="24"/>
              <w:highlight w:val="none"/>
            </w:rPr>
            <w:t>第五部分 附表</w:t>
          </w:r>
          <w:r>
            <w:rPr>
              <w:rFonts w:hint="eastAsia" w:ascii="仿宋" w:hAnsi="仿宋" w:eastAsia="仿宋" w:cs="仿宋"/>
              <w:b/>
              <w:sz w:val="24"/>
              <w:szCs w:val="24"/>
            </w:rPr>
            <w:tab/>
          </w:r>
          <w:r>
            <w:rPr>
              <w:rFonts w:hint="eastAsia" w:ascii="仿宋" w:hAnsi="仿宋" w:eastAsia="仿宋" w:cs="仿宋"/>
              <w:b/>
              <w:sz w:val="24"/>
              <w:szCs w:val="24"/>
            </w:rPr>
            <w:fldChar w:fldCharType="begin"/>
          </w:r>
          <w:r>
            <w:rPr>
              <w:rFonts w:hint="eastAsia" w:ascii="仿宋" w:hAnsi="仿宋" w:eastAsia="仿宋" w:cs="仿宋"/>
              <w:b/>
              <w:sz w:val="24"/>
              <w:szCs w:val="24"/>
            </w:rPr>
            <w:instrText xml:space="preserve"> PAGEREF _Toc23972 \h </w:instrText>
          </w:r>
          <w:r>
            <w:rPr>
              <w:rFonts w:hint="eastAsia" w:ascii="仿宋" w:hAnsi="仿宋" w:eastAsia="仿宋" w:cs="仿宋"/>
              <w:b/>
              <w:sz w:val="24"/>
              <w:szCs w:val="24"/>
            </w:rPr>
            <w:fldChar w:fldCharType="separate"/>
          </w:r>
          <w:r>
            <w:rPr>
              <w:rFonts w:hint="eastAsia" w:ascii="仿宋" w:hAnsi="仿宋" w:eastAsia="仿宋" w:cs="仿宋"/>
              <w:b/>
              <w:sz w:val="24"/>
              <w:szCs w:val="24"/>
            </w:rPr>
            <w:t>65</w:t>
          </w:r>
          <w:r>
            <w:rPr>
              <w:rFonts w:hint="eastAsia" w:ascii="仿宋" w:hAnsi="仿宋" w:eastAsia="仿宋" w:cs="仿宋"/>
              <w:b/>
              <w:sz w:val="24"/>
              <w:szCs w:val="24"/>
            </w:rPr>
            <w:fldChar w:fldCharType="end"/>
          </w:r>
          <w:r>
            <w:rPr>
              <w:rFonts w:hint="eastAsia" w:ascii="仿宋" w:hAnsi="仿宋" w:eastAsia="仿宋" w:cs="仿宋"/>
              <w:b/>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_Toc16284 </w:instrText>
          </w:r>
          <w:r>
            <w:rPr>
              <w:rFonts w:hint="eastAsia" w:ascii="仿宋" w:hAnsi="仿宋" w:eastAsia="仿宋" w:cs="仿宋"/>
              <w:sz w:val="24"/>
              <w:szCs w:val="24"/>
            </w:rPr>
            <w:fldChar w:fldCharType="separate"/>
          </w:r>
          <w:r>
            <w:rPr>
              <w:rFonts w:hint="eastAsia" w:ascii="仿宋" w:hAnsi="仿宋" w:eastAsia="仿宋" w:cs="仿宋"/>
              <w:sz w:val="24"/>
              <w:szCs w:val="24"/>
              <w:highlight w:val="none"/>
            </w:rPr>
            <w:t>一、收</w:t>
          </w:r>
          <w:r>
            <w:rPr>
              <w:rFonts w:hint="eastAsia" w:ascii="仿宋" w:hAnsi="仿宋" w:eastAsia="仿宋" w:cs="仿宋"/>
              <w:bCs w:val="0"/>
              <w:sz w:val="24"/>
              <w:szCs w:val="24"/>
              <w:highlight w:val="none"/>
            </w:rPr>
            <w:t>入支出决算总表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_Toc16284 \h </w:instrText>
          </w:r>
          <w:r>
            <w:rPr>
              <w:rFonts w:hint="eastAsia" w:ascii="仿宋" w:hAnsi="仿宋" w:eastAsia="仿宋" w:cs="仿宋"/>
              <w:sz w:val="24"/>
              <w:szCs w:val="24"/>
            </w:rPr>
            <w:fldChar w:fldCharType="separate"/>
          </w:r>
          <w:r>
            <w:rPr>
              <w:rFonts w:hint="eastAsia" w:ascii="仿宋" w:hAnsi="仿宋" w:eastAsia="仿宋" w:cs="仿宋"/>
              <w:sz w:val="24"/>
              <w:szCs w:val="24"/>
            </w:rPr>
            <w:t>65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_Toc13562 </w:instrText>
          </w:r>
          <w:r>
            <w:rPr>
              <w:rFonts w:hint="eastAsia" w:ascii="仿宋" w:hAnsi="仿宋" w:eastAsia="仿宋" w:cs="仿宋"/>
              <w:sz w:val="24"/>
              <w:szCs w:val="24"/>
            </w:rPr>
            <w:fldChar w:fldCharType="separate"/>
          </w:r>
          <w:r>
            <w:rPr>
              <w:rFonts w:hint="eastAsia" w:ascii="仿宋" w:hAnsi="仿宋" w:eastAsia="仿宋" w:cs="仿宋"/>
              <w:sz w:val="24"/>
              <w:szCs w:val="24"/>
              <w:highlight w:val="none"/>
            </w:rPr>
            <w:t>二、收</w:t>
          </w:r>
          <w:r>
            <w:rPr>
              <w:rFonts w:hint="eastAsia" w:ascii="仿宋" w:hAnsi="仿宋" w:eastAsia="仿宋" w:cs="仿宋"/>
              <w:bCs w:val="0"/>
              <w:sz w:val="24"/>
              <w:szCs w:val="24"/>
              <w:highlight w:val="none"/>
            </w:rPr>
            <w:t>入决算表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_Toc13562 \h </w:instrText>
          </w:r>
          <w:r>
            <w:rPr>
              <w:rFonts w:hint="eastAsia" w:ascii="仿宋" w:hAnsi="仿宋" w:eastAsia="仿宋" w:cs="仿宋"/>
              <w:sz w:val="24"/>
              <w:szCs w:val="24"/>
            </w:rPr>
            <w:fldChar w:fldCharType="separate"/>
          </w:r>
          <w:r>
            <w:rPr>
              <w:rFonts w:hint="eastAsia" w:ascii="仿宋" w:hAnsi="仿宋" w:eastAsia="仿宋" w:cs="仿宋"/>
              <w:sz w:val="24"/>
              <w:szCs w:val="24"/>
            </w:rPr>
            <w:t>65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_Toc29633 </w:instrText>
          </w:r>
          <w:r>
            <w:rPr>
              <w:rFonts w:hint="eastAsia" w:ascii="仿宋" w:hAnsi="仿宋" w:eastAsia="仿宋" w:cs="仿宋"/>
              <w:sz w:val="24"/>
              <w:szCs w:val="24"/>
            </w:rPr>
            <w:fldChar w:fldCharType="separate"/>
          </w:r>
          <w:r>
            <w:rPr>
              <w:rFonts w:hint="eastAsia" w:ascii="仿宋" w:hAnsi="仿宋" w:eastAsia="仿宋" w:cs="仿宋"/>
              <w:bCs w:val="0"/>
              <w:sz w:val="24"/>
              <w:szCs w:val="24"/>
              <w:highlight w:val="none"/>
            </w:rPr>
            <w:t>三、</w:t>
          </w:r>
          <w:r>
            <w:rPr>
              <w:rFonts w:hint="eastAsia" w:ascii="仿宋" w:hAnsi="仿宋" w:eastAsia="仿宋" w:cs="仿宋"/>
              <w:sz w:val="24"/>
              <w:szCs w:val="24"/>
              <w:highlight w:val="none"/>
            </w:rPr>
            <w:t>支</w:t>
          </w:r>
          <w:r>
            <w:rPr>
              <w:rFonts w:hint="eastAsia" w:ascii="仿宋" w:hAnsi="仿宋" w:eastAsia="仿宋" w:cs="仿宋"/>
              <w:bCs w:val="0"/>
              <w:sz w:val="24"/>
              <w:szCs w:val="24"/>
              <w:highlight w:val="none"/>
            </w:rPr>
            <w:t>出决算表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_Toc29633 \h </w:instrText>
          </w:r>
          <w:r>
            <w:rPr>
              <w:rFonts w:hint="eastAsia" w:ascii="仿宋" w:hAnsi="仿宋" w:eastAsia="仿宋" w:cs="仿宋"/>
              <w:sz w:val="24"/>
              <w:szCs w:val="24"/>
            </w:rPr>
            <w:fldChar w:fldCharType="separate"/>
          </w:r>
          <w:r>
            <w:rPr>
              <w:rFonts w:hint="eastAsia" w:ascii="仿宋" w:hAnsi="仿宋" w:eastAsia="仿宋" w:cs="仿宋"/>
              <w:sz w:val="24"/>
              <w:szCs w:val="24"/>
            </w:rPr>
            <w:t>65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_Toc18612 </w:instrText>
          </w:r>
          <w:r>
            <w:rPr>
              <w:rFonts w:hint="eastAsia" w:ascii="仿宋" w:hAnsi="仿宋" w:eastAsia="仿宋" w:cs="仿宋"/>
              <w:sz w:val="24"/>
              <w:szCs w:val="24"/>
            </w:rPr>
            <w:fldChar w:fldCharType="separate"/>
          </w:r>
          <w:r>
            <w:rPr>
              <w:rFonts w:hint="eastAsia" w:ascii="仿宋" w:hAnsi="仿宋" w:eastAsia="仿宋" w:cs="仿宋"/>
              <w:bCs w:val="0"/>
              <w:sz w:val="24"/>
              <w:szCs w:val="24"/>
              <w:highlight w:val="none"/>
            </w:rPr>
            <w:t>四、</w:t>
          </w:r>
          <w:r>
            <w:rPr>
              <w:rFonts w:hint="eastAsia" w:ascii="仿宋" w:hAnsi="仿宋" w:eastAsia="仿宋" w:cs="仿宋"/>
              <w:sz w:val="24"/>
              <w:szCs w:val="24"/>
              <w:highlight w:val="none"/>
            </w:rPr>
            <w:t>财</w:t>
          </w:r>
          <w:r>
            <w:rPr>
              <w:rFonts w:hint="eastAsia" w:ascii="仿宋" w:hAnsi="仿宋" w:eastAsia="仿宋" w:cs="仿宋"/>
              <w:bCs w:val="0"/>
              <w:sz w:val="24"/>
              <w:szCs w:val="24"/>
              <w:highlight w:val="none"/>
            </w:rPr>
            <w:t>政拨款收入支出决算总表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_Toc18612 \h </w:instrText>
          </w:r>
          <w:r>
            <w:rPr>
              <w:rFonts w:hint="eastAsia" w:ascii="仿宋" w:hAnsi="仿宋" w:eastAsia="仿宋" w:cs="仿宋"/>
              <w:sz w:val="24"/>
              <w:szCs w:val="24"/>
            </w:rPr>
            <w:fldChar w:fldCharType="separate"/>
          </w:r>
          <w:r>
            <w:rPr>
              <w:rFonts w:hint="eastAsia" w:ascii="仿宋" w:hAnsi="仿宋" w:eastAsia="仿宋" w:cs="仿宋"/>
              <w:sz w:val="24"/>
              <w:szCs w:val="24"/>
            </w:rPr>
            <w:t>65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_Toc3126 </w:instrText>
          </w:r>
          <w:r>
            <w:rPr>
              <w:rFonts w:hint="eastAsia" w:ascii="仿宋" w:hAnsi="仿宋" w:eastAsia="仿宋" w:cs="仿宋"/>
              <w:sz w:val="24"/>
              <w:szCs w:val="24"/>
            </w:rPr>
            <w:fldChar w:fldCharType="separate"/>
          </w:r>
          <w:r>
            <w:rPr>
              <w:rFonts w:hint="eastAsia" w:ascii="仿宋" w:hAnsi="仿宋" w:eastAsia="仿宋" w:cs="仿宋"/>
              <w:bCs w:val="0"/>
              <w:sz w:val="24"/>
              <w:szCs w:val="24"/>
              <w:highlight w:val="none"/>
            </w:rPr>
            <w:t>五、</w:t>
          </w:r>
          <w:r>
            <w:rPr>
              <w:rFonts w:hint="eastAsia" w:ascii="仿宋" w:hAnsi="仿宋" w:eastAsia="仿宋" w:cs="仿宋"/>
              <w:sz w:val="24"/>
              <w:szCs w:val="24"/>
              <w:highlight w:val="none"/>
            </w:rPr>
            <w:t>财</w:t>
          </w:r>
          <w:r>
            <w:rPr>
              <w:rFonts w:hint="eastAsia" w:ascii="仿宋" w:hAnsi="仿宋" w:eastAsia="仿宋" w:cs="仿宋"/>
              <w:bCs w:val="0"/>
              <w:sz w:val="24"/>
              <w:szCs w:val="24"/>
              <w:highlight w:val="none"/>
            </w:rPr>
            <w:t>政拨款支出决算明细表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_Toc3126 \h </w:instrText>
          </w:r>
          <w:r>
            <w:rPr>
              <w:rFonts w:hint="eastAsia" w:ascii="仿宋" w:hAnsi="仿宋" w:eastAsia="仿宋" w:cs="仿宋"/>
              <w:sz w:val="24"/>
              <w:szCs w:val="24"/>
            </w:rPr>
            <w:fldChar w:fldCharType="separate"/>
          </w:r>
          <w:r>
            <w:rPr>
              <w:rFonts w:hint="eastAsia" w:ascii="仿宋" w:hAnsi="仿宋" w:eastAsia="仿宋" w:cs="仿宋"/>
              <w:sz w:val="24"/>
              <w:szCs w:val="24"/>
            </w:rPr>
            <w:t>65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_Toc22549 </w:instrText>
          </w:r>
          <w:r>
            <w:rPr>
              <w:rFonts w:hint="eastAsia" w:ascii="仿宋" w:hAnsi="仿宋" w:eastAsia="仿宋" w:cs="仿宋"/>
              <w:sz w:val="24"/>
              <w:szCs w:val="24"/>
            </w:rPr>
            <w:fldChar w:fldCharType="separate"/>
          </w:r>
          <w:r>
            <w:rPr>
              <w:rFonts w:hint="eastAsia" w:ascii="仿宋" w:hAnsi="仿宋" w:eastAsia="仿宋" w:cs="仿宋"/>
              <w:bCs w:val="0"/>
              <w:sz w:val="24"/>
              <w:szCs w:val="24"/>
              <w:highlight w:val="none"/>
            </w:rPr>
            <w:t>六、</w:t>
          </w:r>
          <w:r>
            <w:rPr>
              <w:rFonts w:hint="eastAsia" w:ascii="仿宋" w:hAnsi="仿宋" w:eastAsia="仿宋" w:cs="仿宋"/>
              <w:sz w:val="24"/>
              <w:szCs w:val="24"/>
              <w:highlight w:val="none"/>
            </w:rPr>
            <w:t>一</w:t>
          </w:r>
          <w:r>
            <w:rPr>
              <w:rFonts w:hint="eastAsia" w:ascii="仿宋" w:hAnsi="仿宋" w:eastAsia="仿宋" w:cs="仿宋"/>
              <w:bCs w:val="0"/>
              <w:sz w:val="24"/>
              <w:szCs w:val="24"/>
              <w:highlight w:val="none"/>
            </w:rPr>
            <w:t>般公共预算财政拨款支出决算表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_Toc22549 \h </w:instrText>
          </w:r>
          <w:r>
            <w:rPr>
              <w:rFonts w:hint="eastAsia" w:ascii="仿宋" w:hAnsi="仿宋" w:eastAsia="仿宋" w:cs="仿宋"/>
              <w:sz w:val="24"/>
              <w:szCs w:val="24"/>
            </w:rPr>
            <w:fldChar w:fldCharType="separate"/>
          </w:r>
          <w:r>
            <w:rPr>
              <w:rFonts w:hint="eastAsia" w:ascii="仿宋" w:hAnsi="仿宋" w:eastAsia="仿宋" w:cs="仿宋"/>
              <w:sz w:val="24"/>
              <w:szCs w:val="24"/>
            </w:rPr>
            <w:t>65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_Toc22772 </w:instrText>
          </w:r>
          <w:r>
            <w:rPr>
              <w:rFonts w:hint="eastAsia" w:ascii="仿宋" w:hAnsi="仿宋" w:eastAsia="仿宋" w:cs="仿宋"/>
              <w:sz w:val="24"/>
              <w:szCs w:val="24"/>
            </w:rPr>
            <w:fldChar w:fldCharType="separate"/>
          </w:r>
          <w:r>
            <w:rPr>
              <w:rFonts w:hint="eastAsia" w:ascii="仿宋" w:hAnsi="仿宋" w:eastAsia="仿宋" w:cs="仿宋"/>
              <w:bCs w:val="0"/>
              <w:sz w:val="24"/>
              <w:szCs w:val="24"/>
              <w:highlight w:val="none"/>
            </w:rPr>
            <w:t>七、</w:t>
          </w:r>
          <w:r>
            <w:rPr>
              <w:rFonts w:hint="eastAsia" w:ascii="仿宋" w:hAnsi="仿宋" w:eastAsia="仿宋" w:cs="仿宋"/>
              <w:sz w:val="24"/>
              <w:szCs w:val="24"/>
              <w:highlight w:val="none"/>
            </w:rPr>
            <w:t>一</w:t>
          </w:r>
          <w:r>
            <w:rPr>
              <w:rFonts w:hint="eastAsia" w:ascii="仿宋" w:hAnsi="仿宋" w:eastAsia="仿宋" w:cs="仿宋"/>
              <w:bCs w:val="0"/>
              <w:sz w:val="24"/>
              <w:szCs w:val="24"/>
              <w:highlight w:val="none"/>
            </w:rPr>
            <w:t>般公共预算财政拨款支出决算明细表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_Toc22772 \h </w:instrText>
          </w:r>
          <w:r>
            <w:rPr>
              <w:rFonts w:hint="eastAsia" w:ascii="仿宋" w:hAnsi="仿宋" w:eastAsia="仿宋" w:cs="仿宋"/>
              <w:sz w:val="24"/>
              <w:szCs w:val="24"/>
            </w:rPr>
            <w:fldChar w:fldCharType="separate"/>
          </w:r>
          <w:r>
            <w:rPr>
              <w:rFonts w:hint="eastAsia" w:ascii="仿宋" w:hAnsi="仿宋" w:eastAsia="仿宋" w:cs="仿宋"/>
              <w:sz w:val="24"/>
              <w:szCs w:val="24"/>
            </w:rPr>
            <w:t>65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_Toc29136 </w:instrText>
          </w:r>
          <w:r>
            <w:rPr>
              <w:rFonts w:hint="eastAsia" w:ascii="仿宋" w:hAnsi="仿宋" w:eastAsia="仿宋" w:cs="仿宋"/>
              <w:sz w:val="24"/>
              <w:szCs w:val="24"/>
            </w:rPr>
            <w:fldChar w:fldCharType="separate"/>
          </w:r>
          <w:r>
            <w:rPr>
              <w:rFonts w:hint="eastAsia" w:ascii="仿宋" w:hAnsi="仿宋" w:eastAsia="仿宋" w:cs="仿宋"/>
              <w:bCs w:val="0"/>
              <w:sz w:val="24"/>
              <w:szCs w:val="24"/>
              <w:highlight w:val="none"/>
            </w:rPr>
            <w:t>八、</w:t>
          </w:r>
          <w:r>
            <w:rPr>
              <w:rFonts w:hint="eastAsia" w:ascii="仿宋" w:hAnsi="仿宋" w:eastAsia="仿宋" w:cs="仿宋"/>
              <w:sz w:val="24"/>
              <w:szCs w:val="24"/>
              <w:highlight w:val="none"/>
            </w:rPr>
            <w:t>一</w:t>
          </w:r>
          <w:r>
            <w:rPr>
              <w:rFonts w:hint="eastAsia" w:ascii="仿宋" w:hAnsi="仿宋" w:eastAsia="仿宋" w:cs="仿宋"/>
              <w:bCs w:val="0"/>
              <w:sz w:val="24"/>
              <w:szCs w:val="24"/>
              <w:highlight w:val="none"/>
            </w:rPr>
            <w:t>般公共预算财政拨款基本支出决算表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_Toc29136 \h </w:instrText>
          </w:r>
          <w:r>
            <w:rPr>
              <w:rFonts w:hint="eastAsia" w:ascii="仿宋" w:hAnsi="仿宋" w:eastAsia="仿宋" w:cs="仿宋"/>
              <w:sz w:val="24"/>
              <w:szCs w:val="24"/>
            </w:rPr>
            <w:fldChar w:fldCharType="separate"/>
          </w:r>
          <w:r>
            <w:rPr>
              <w:rFonts w:hint="eastAsia" w:ascii="仿宋" w:hAnsi="仿宋" w:eastAsia="仿宋" w:cs="仿宋"/>
              <w:sz w:val="24"/>
              <w:szCs w:val="24"/>
            </w:rPr>
            <w:t>65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_Toc14853 </w:instrText>
          </w:r>
          <w:r>
            <w:rPr>
              <w:rFonts w:hint="eastAsia" w:ascii="仿宋" w:hAnsi="仿宋" w:eastAsia="仿宋" w:cs="仿宋"/>
              <w:sz w:val="24"/>
              <w:szCs w:val="24"/>
            </w:rPr>
            <w:fldChar w:fldCharType="separate"/>
          </w:r>
          <w:r>
            <w:rPr>
              <w:rFonts w:hint="eastAsia" w:ascii="仿宋" w:hAnsi="仿宋" w:eastAsia="仿宋" w:cs="仿宋"/>
              <w:bCs w:val="0"/>
              <w:sz w:val="24"/>
              <w:szCs w:val="24"/>
              <w:highlight w:val="none"/>
            </w:rPr>
            <w:t>九、</w:t>
          </w:r>
          <w:r>
            <w:rPr>
              <w:rFonts w:hint="eastAsia" w:ascii="仿宋" w:hAnsi="仿宋" w:eastAsia="仿宋" w:cs="仿宋"/>
              <w:sz w:val="24"/>
              <w:szCs w:val="24"/>
              <w:highlight w:val="none"/>
            </w:rPr>
            <w:t>一</w:t>
          </w:r>
          <w:r>
            <w:rPr>
              <w:rFonts w:hint="eastAsia" w:ascii="仿宋" w:hAnsi="仿宋" w:eastAsia="仿宋" w:cs="仿宋"/>
              <w:bCs w:val="0"/>
              <w:sz w:val="24"/>
              <w:szCs w:val="24"/>
              <w:highlight w:val="none"/>
            </w:rPr>
            <w:t>般公共预算财政拨款项目支出决算表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_Toc14853 \h </w:instrText>
          </w:r>
          <w:r>
            <w:rPr>
              <w:rFonts w:hint="eastAsia" w:ascii="仿宋" w:hAnsi="仿宋" w:eastAsia="仿宋" w:cs="仿宋"/>
              <w:sz w:val="24"/>
              <w:szCs w:val="24"/>
            </w:rPr>
            <w:fldChar w:fldCharType="separate"/>
          </w:r>
          <w:r>
            <w:rPr>
              <w:rFonts w:hint="eastAsia" w:ascii="仿宋" w:hAnsi="仿宋" w:eastAsia="仿宋" w:cs="仿宋"/>
              <w:sz w:val="24"/>
              <w:szCs w:val="24"/>
            </w:rPr>
            <w:t>65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_Toc14713 </w:instrText>
          </w:r>
          <w:r>
            <w:rPr>
              <w:rFonts w:hint="eastAsia" w:ascii="仿宋" w:hAnsi="仿宋" w:eastAsia="仿宋" w:cs="仿宋"/>
              <w:sz w:val="24"/>
              <w:szCs w:val="24"/>
            </w:rPr>
            <w:fldChar w:fldCharType="separate"/>
          </w:r>
          <w:r>
            <w:rPr>
              <w:rFonts w:hint="eastAsia" w:ascii="仿宋" w:hAnsi="仿宋" w:eastAsia="仿宋" w:cs="仿宋"/>
              <w:bCs w:val="0"/>
              <w:sz w:val="24"/>
              <w:szCs w:val="24"/>
              <w:highlight w:val="none"/>
            </w:rPr>
            <w:t>十、</w:t>
          </w:r>
          <w:r>
            <w:rPr>
              <w:rFonts w:hint="eastAsia" w:ascii="仿宋" w:hAnsi="仿宋" w:eastAsia="仿宋" w:cs="仿宋"/>
              <w:sz w:val="24"/>
              <w:szCs w:val="24"/>
              <w:highlight w:val="none"/>
            </w:rPr>
            <w:t>政</w:t>
          </w:r>
          <w:r>
            <w:rPr>
              <w:rFonts w:hint="eastAsia" w:ascii="仿宋" w:hAnsi="仿宋" w:eastAsia="仿宋" w:cs="仿宋"/>
              <w:bCs w:val="0"/>
              <w:sz w:val="24"/>
              <w:szCs w:val="24"/>
              <w:highlight w:val="none"/>
            </w:rPr>
            <w:t>府性基金预算财政拨款收入支出决算表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_Toc14713 \h </w:instrText>
          </w:r>
          <w:r>
            <w:rPr>
              <w:rFonts w:hint="eastAsia" w:ascii="仿宋" w:hAnsi="仿宋" w:eastAsia="仿宋" w:cs="仿宋"/>
              <w:sz w:val="24"/>
              <w:szCs w:val="24"/>
            </w:rPr>
            <w:fldChar w:fldCharType="separate"/>
          </w:r>
          <w:r>
            <w:rPr>
              <w:rFonts w:hint="eastAsia" w:ascii="仿宋" w:hAnsi="仿宋" w:eastAsia="仿宋" w:cs="仿宋"/>
              <w:sz w:val="24"/>
              <w:szCs w:val="24"/>
            </w:rPr>
            <w:t>65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_Toc16785 </w:instrText>
          </w:r>
          <w:r>
            <w:rPr>
              <w:rFonts w:hint="eastAsia" w:ascii="仿宋" w:hAnsi="仿宋" w:eastAsia="仿宋" w:cs="仿宋"/>
              <w:sz w:val="24"/>
              <w:szCs w:val="24"/>
            </w:rPr>
            <w:fldChar w:fldCharType="separate"/>
          </w:r>
          <w:r>
            <w:rPr>
              <w:rFonts w:hint="eastAsia" w:ascii="仿宋" w:hAnsi="仿宋" w:eastAsia="仿宋" w:cs="仿宋"/>
              <w:bCs w:val="0"/>
              <w:sz w:val="24"/>
              <w:szCs w:val="24"/>
              <w:highlight w:val="none"/>
            </w:rPr>
            <w:t>十一、</w:t>
          </w:r>
          <w:r>
            <w:rPr>
              <w:rFonts w:hint="eastAsia" w:ascii="仿宋" w:hAnsi="仿宋" w:eastAsia="仿宋" w:cs="仿宋"/>
              <w:sz w:val="24"/>
              <w:szCs w:val="24"/>
              <w:highlight w:val="none"/>
            </w:rPr>
            <w:t>国</w:t>
          </w:r>
          <w:r>
            <w:rPr>
              <w:rFonts w:hint="eastAsia" w:ascii="仿宋" w:hAnsi="仿宋" w:eastAsia="仿宋" w:cs="仿宋"/>
              <w:bCs w:val="0"/>
              <w:sz w:val="24"/>
              <w:szCs w:val="24"/>
              <w:highlight w:val="none"/>
            </w:rPr>
            <w:t>有资本经营预算</w:t>
          </w:r>
          <w:r>
            <w:rPr>
              <w:rFonts w:hint="eastAsia" w:ascii="仿宋" w:hAnsi="仿宋" w:eastAsia="仿宋" w:cs="仿宋"/>
              <w:bCs w:val="0"/>
              <w:sz w:val="24"/>
              <w:szCs w:val="24"/>
              <w:highlight w:val="none"/>
              <w:lang w:eastAsia="zh-CN"/>
            </w:rPr>
            <w:t>财政拨款收入</w:t>
          </w:r>
          <w:r>
            <w:rPr>
              <w:rFonts w:hint="eastAsia" w:ascii="仿宋" w:hAnsi="仿宋" w:eastAsia="仿宋" w:cs="仿宋"/>
              <w:bCs w:val="0"/>
              <w:sz w:val="24"/>
              <w:szCs w:val="24"/>
              <w:highlight w:val="none"/>
            </w:rPr>
            <w:t>支出决算表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_Toc16785 \h </w:instrText>
          </w:r>
          <w:r>
            <w:rPr>
              <w:rFonts w:hint="eastAsia" w:ascii="仿宋" w:hAnsi="仿宋" w:eastAsia="仿宋" w:cs="仿宋"/>
              <w:sz w:val="24"/>
              <w:szCs w:val="24"/>
            </w:rPr>
            <w:fldChar w:fldCharType="separate"/>
          </w:r>
          <w:r>
            <w:rPr>
              <w:rFonts w:hint="eastAsia" w:ascii="仿宋" w:hAnsi="仿宋" w:eastAsia="仿宋" w:cs="仿宋"/>
              <w:sz w:val="24"/>
              <w:szCs w:val="24"/>
            </w:rPr>
            <w:t>65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_Toc10717 </w:instrText>
          </w:r>
          <w:r>
            <w:rPr>
              <w:rFonts w:hint="eastAsia" w:ascii="仿宋" w:hAnsi="仿宋" w:eastAsia="仿宋" w:cs="仿宋"/>
              <w:sz w:val="24"/>
              <w:szCs w:val="24"/>
            </w:rPr>
            <w:fldChar w:fldCharType="separate"/>
          </w:r>
          <w:r>
            <w:rPr>
              <w:rFonts w:hint="eastAsia" w:ascii="仿宋" w:hAnsi="仿宋" w:eastAsia="仿宋" w:cs="仿宋"/>
              <w:bCs w:val="0"/>
              <w:sz w:val="24"/>
              <w:szCs w:val="24"/>
              <w:highlight w:val="none"/>
            </w:rPr>
            <w:t>十二、</w:t>
          </w:r>
          <w:r>
            <w:rPr>
              <w:rFonts w:hint="eastAsia" w:ascii="仿宋" w:hAnsi="仿宋" w:eastAsia="仿宋" w:cs="仿宋"/>
              <w:bCs w:val="0"/>
              <w:sz w:val="24"/>
              <w:szCs w:val="24"/>
              <w:highlight w:val="none"/>
              <w:lang w:eastAsia="zh-CN"/>
            </w:rPr>
            <w:t>国有资本经营预算财政拨款支出决算表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_Toc10717 \h </w:instrText>
          </w:r>
          <w:r>
            <w:rPr>
              <w:rFonts w:hint="eastAsia" w:ascii="仿宋" w:hAnsi="仿宋" w:eastAsia="仿宋" w:cs="仿宋"/>
              <w:sz w:val="24"/>
              <w:szCs w:val="24"/>
            </w:rPr>
            <w:fldChar w:fldCharType="separate"/>
          </w:r>
          <w:r>
            <w:rPr>
              <w:rFonts w:hint="eastAsia" w:ascii="仿宋" w:hAnsi="仿宋" w:eastAsia="仿宋" w:cs="仿宋"/>
              <w:sz w:val="24"/>
              <w:szCs w:val="24"/>
            </w:rPr>
            <w:t>65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pPr>
            <w:pStyle w:val="33"/>
            <w:tabs>
              <w:tab w:val="right" w:leader="dot" w:pos="8306"/>
            </w:tabs>
            <w:rPr>
              <w:rFonts w:hint="eastAsia"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HYPERLINK \l _Toc29550 </w:instrText>
          </w:r>
          <w:r>
            <w:rPr>
              <w:rFonts w:hint="eastAsia" w:ascii="仿宋" w:hAnsi="仿宋" w:eastAsia="仿宋" w:cs="仿宋"/>
              <w:sz w:val="24"/>
              <w:szCs w:val="24"/>
            </w:rPr>
            <w:fldChar w:fldCharType="separate"/>
          </w:r>
          <w:r>
            <w:rPr>
              <w:rFonts w:hint="eastAsia" w:ascii="仿宋" w:hAnsi="仿宋" w:eastAsia="仿宋" w:cs="仿宋"/>
              <w:bCs w:val="0"/>
              <w:sz w:val="24"/>
              <w:szCs w:val="24"/>
              <w:highlight w:val="none"/>
            </w:rPr>
            <w:t>十三、</w:t>
          </w:r>
          <w:r>
            <w:rPr>
              <w:rFonts w:hint="eastAsia" w:ascii="仿宋" w:hAnsi="仿宋" w:eastAsia="仿宋" w:cs="仿宋"/>
              <w:bCs w:val="0"/>
              <w:sz w:val="24"/>
              <w:szCs w:val="24"/>
              <w:highlight w:val="none"/>
              <w:lang w:eastAsia="zh-CN"/>
            </w:rPr>
            <w:t>财政拨款“三公”经费支出决算表</w:t>
          </w:r>
          <w:r>
            <w:rPr>
              <w:rFonts w:hint="eastAsia" w:ascii="仿宋" w:hAnsi="仿宋" w:eastAsia="仿宋" w:cs="仿宋"/>
              <w:sz w:val="24"/>
              <w:szCs w:val="24"/>
            </w:rPr>
            <w:tab/>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PAGEREF _Toc29550 \h </w:instrText>
          </w:r>
          <w:r>
            <w:rPr>
              <w:rFonts w:hint="eastAsia" w:ascii="仿宋" w:hAnsi="仿宋" w:eastAsia="仿宋" w:cs="仿宋"/>
              <w:sz w:val="24"/>
              <w:szCs w:val="24"/>
            </w:rPr>
            <w:fldChar w:fldCharType="separate"/>
          </w:r>
          <w:r>
            <w:rPr>
              <w:rFonts w:hint="eastAsia" w:ascii="仿宋" w:hAnsi="仿宋" w:eastAsia="仿宋" w:cs="仿宋"/>
              <w:sz w:val="24"/>
              <w:szCs w:val="24"/>
            </w:rPr>
            <w:t>65</w:t>
          </w:r>
          <w:r>
            <w:rPr>
              <w:rFonts w:hint="eastAsia" w:ascii="仿宋" w:hAnsi="仿宋" w:eastAsia="仿宋" w:cs="仿宋"/>
              <w:sz w:val="24"/>
              <w:szCs w:val="24"/>
            </w:rPr>
            <w:fldChar w:fldCharType="end"/>
          </w:r>
          <w:r>
            <w:rPr>
              <w:rFonts w:hint="eastAsia" w:ascii="仿宋" w:hAnsi="仿宋" w:eastAsia="仿宋" w:cs="仿宋"/>
              <w:sz w:val="24"/>
              <w:szCs w:val="24"/>
            </w:rPr>
            <w:fldChar w:fldCharType="end"/>
          </w:r>
        </w:p>
        <w:p>
          <w:r>
            <w:rPr>
              <w:b/>
            </w:rPr>
            <w:fldChar w:fldCharType="end"/>
          </w:r>
        </w:p>
      </w:sdtContent>
    </w:sdt>
    <w:p>
      <w:pPr>
        <w:widowControl/>
        <w:spacing w:line="440" w:lineRule="exact"/>
        <w:jc w:val="left"/>
        <w:rPr>
          <w:rFonts w:ascii="仿宋" w:hAnsi="仿宋" w:eastAsia="仿宋"/>
          <w:bCs/>
          <w:color w:val="auto"/>
          <w:kern w:val="44"/>
          <w:sz w:val="24"/>
          <w:highlight w:val="none"/>
        </w:rPr>
      </w:pPr>
      <w:bookmarkStart w:id="14" w:name="_Toc15396599"/>
      <w:bookmarkStart w:id="15" w:name="_Toc15377196"/>
      <w:r>
        <w:rPr>
          <w:rFonts w:ascii="仿宋" w:hAnsi="仿宋" w:eastAsia="仿宋"/>
          <w:b/>
          <w:color w:val="auto"/>
          <w:sz w:val="24"/>
          <w:highlight w:val="none"/>
        </w:rPr>
        <w:br w:type="page"/>
      </w:r>
    </w:p>
    <w:p>
      <w:pPr>
        <w:pStyle w:val="3"/>
        <w:jc w:val="center"/>
        <w:rPr>
          <w:rFonts w:ascii="黑体" w:eastAsia="黑体"/>
          <w:color w:val="auto"/>
          <w:sz w:val="32"/>
          <w:szCs w:val="32"/>
          <w:highlight w:val="none"/>
        </w:rPr>
      </w:pPr>
      <w:bookmarkStart w:id="16" w:name="_Toc23931"/>
      <w:r>
        <w:rPr>
          <w:rFonts w:hint="eastAsia" w:ascii="黑体" w:hAnsi="黑体" w:eastAsia="黑体"/>
          <w:b w:val="0"/>
          <w:color w:val="auto"/>
          <w:highlight w:val="none"/>
        </w:rPr>
        <w:t xml:space="preserve">第一部分 </w:t>
      </w:r>
      <w:r>
        <w:rPr>
          <w:rFonts w:hint="eastAsia" w:ascii="黑体" w:hAnsi="黑体" w:eastAsia="黑体"/>
          <w:b w:val="0"/>
          <w:color w:val="auto"/>
          <w:highlight w:val="none"/>
          <w:lang w:eastAsia="zh-CN"/>
        </w:rPr>
        <w:t>单位</w:t>
      </w:r>
      <w:r>
        <w:rPr>
          <w:rStyle w:val="26"/>
          <w:rFonts w:hint="eastAsia" w:ascii="黑体" w:hAnsi="黑体" w:eastAsia="黑体"/>
          <w:b w:val="0"/>
          <w:bCs w:val="0"/>
          <w:color w:val="auto"/>
          <w:highlight w:val="none"/>
        </w:rPr>
        <w:t>概况</w:t>
      </w:r>
      <w:bookmarkEnd w:id="14"/>
      <w:bookmarkEnd w:id="15"/>
      <w:bookmarkEnd w:id="16"/>
    </w:p>
    <w:p>
      <w:pPr>
        <w:pStyle w:val="4"/>
        <w:numPr>
          <w:ilvl w:val="0"/>
          <w:numId w:val="1"/>
        </w:numPr>
        <w:rPr>
          <w:rStyle w:val="27"/>
          <w:rFonts w:hint="eastAsia" w:ascii="黑体" w:hAnsi="黑体" w:eastAsia="黑体"/>
          <w:b w:val="0"/>
          <w:bCs w:val="0"/>
          <w:color w:val="auto"/>
          <w:highlight w:val="none"/>
          <w:lang w:eastAsia="zh-CN"/>
        </w:rPr>
      </w:pPr>
      <w:bookmarkStart w:id="17" w:name="_Toc32385"/>
      <w:bookmarkStart w:id="18" w:name="_Toc15377197"/>
      <w:bookmarkStart w:id="19" w:name="_Toc15396600"/>
      <w:r>
        <w:rPr>
          <w:rStyle w:val="27"/>
          <w:rFonts w:hint="eastAsia" w:ascii="黑体" w:hAnsi="黑体" w:eastAsia="黑体"/>
          <w:b w:val="0"/>
          <w:bCs w:val="0"/>
          <w:color w:val="auto"/>
          <w:highlight w:val="none"/>
          <w:lang w:eastAsia="zh-CN"/>
        </w:rPr>
        <w:t>主要职责</w:t>
      </w:r>
      <w:bookmarkEnd w:id="17"/>
    </w:p>
    <w:p>
      <w:pPr>
        <w:numPr>
          <w:ilvl w:val="0"/>
          <w:numId w:val="0"/>
        </w:numPr>
        <w:ind w:firstLine="640" w:firstLineChars="200"/>
        <w:rPr>
          <w:rFonts w:hint="eastAsia" w:ascii="仿宋_GB2312" w:hAnsi="宋体" w:eastAsia="仿宋_GB2312" w:cs="Times New Roman"/>
          <w:kern w:val="0"/>
          <w:sz w:val="32"/>
          <w:szCs w:val="32"/>
          <w:lang w:val="en-US" w:eastAsia="zh-CN" w:bidi="ar-SA"/>
        </w:rPr>
      </w:pPr>
      <w:bookmarkStart w:id="20" w:name="_Toc15377198"/>
      <w:bookmarkStart w:id="21" w:name="_Toc15378445"/>
      <w:r>
        <w:rPr>
          <w:rFonts w:hint="eastAsia" w:ascii="仿宋_GB2312" w:hAnsi="宋体" w:eastAsia="仿宋_GB2312" w:cs="Times New Roman"/>
          <w:kern w:val="0"/>
          <w:sz w:val="32"/>
          <w:szCs w:val="32"/>
          <w:lang w:val="en-US" w:eastAsia="zh-CN" w:bidi="ar-SA"/>
        </w:rPr>
        <w:t>市妇幼保健院成立于1994年，是一所集医疗、预防、保健、教学、科研、业务指导等职能于一体的“二级甲等”妇幼保健院，公益一类事业单位。具体承担全市妇幼公共卫生工作业务指导以及临床医疗保健等工作。</w:t>
      </w:r>
    </w:p>
    <w:p>
      <w:pPr>
        <w:numPr>
          <w:ilvl w:val="0"/>
          <w:numId w:val="0"/>
        </w:numPr>
        <w:ind w:firstLine="640" w:firstLineChars="200"/>
        <w:rPr>
          <w:rFonts w:hint="eastAsia" w:ascii="仿宋_GB2312" w:hAnsi="仿宋_GB2312" w:eastAsia="仿宋_GB2312" w:cs="仿宋_GB2312"/>
          <w:sz w:val="32"/>
          <w:szCs w:val="32"/>
        </w:rPr>
      </w:pPr>
      <w:r>
        <w:rPr>
          <w:rFonts w:hint="eastAsia" w:ascii="仿宋_GB2312" w:hAnsi="宋体" w:eastAsia="仿宋_GB2312" w:cs="Times New Roman"/>
          <w:kern w:val="0"/>
          <w:sz w:val="32"/>
          <w:szCs w:val="32"/>
          <w:lang w:val="en-US" w:eastAsia="zh-CN" w:bidi="ar-SA"/>
        </w:rPr>
        <w:t>1.</w:t>
      </w:r>
      <w:r>
        <w:rPr>
          <w:rFonts w:hint="eastAsia" w:ascii="仿宋_GB2312" w:hAnsi="仿宋_GB2312" w:eastAsia="仿宋_GB2312" w:cs="仿宋_GB2312"/>
          <w:sz w:val="32"/>
          <w:szCs w:val="32"/>
        </w:rPr>
        <w:t>贯彻落实《母婴保健法》、《计划生育技术服务管理条例》等相关法律法规和规章制度。掌握本辖区妇女儿童健康状况及影响因素，</w:t>
      </w:r>
      <w:r>
        <w:rPr>
          <w:rFonts w:hint="eastAsia" w:ascii="仿宋_GB2312" w:hAnsi="仿宋_GB2312" w:eastAsia="仿宋_GB2312" w:cs="仿宋_GB2312"/>
          <w:sz w:val="32"/>
          <w:szCs w:val="32"/>
          <w:lang w:eastAsia="zh-CN"/>
        </w:rPr>
        <w:t>拟定</w:t>
      </w:r>
      <w:r>
        <w:rPr>
          <w:rFonts w:hint="eastAsia" w:ascii="仿宋_GB2312" w:hAnsi="仿宋_GB2312" w:eastAsia="仿宋_GB2312" w:cs="仿宋_GB2312"/>
          <w:sz w:val="32"/>
          <w:szCs w:val="32"/>
        </w:rPr>
        <w:t>本辖区妇幼</w:t>
      </w:r>
      <w:r>
        <w:rPr>
          <w:rFonts w:hint="eastAsia" w:ascii="仿宋_GB2312" w:hAnsi="仿宋_GB2312" w:eastAsia="仿宋_GB2312" w:cs="仿宋_GB2312"/>
          <w:sz w:val="32"/>
          <w:szCs w:val="32"/>
          <w:lang w:eastAsia="zh-CN"/>
        </w:rPr>
        <w:t>保健</w:t>
      </w:r>
      <w:r>
        <w:rPr>
          <w:rFonts w:hint="eastAsia" w:ascii="仿宋_GB2312" w:hAnsi="仿宋_GB2312" w:eastAsia="仿宋_GB2312" w:cs="仿宋_GB2312"/>
          <w:sz w:val="32"/>
          <w:szCs w:val="32"/>
        </w:rPr>
        <w:t>工作的相关政策、技术规范及各项规章制度。</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对</w:t>
      </w:r>
      <w:r>
        <w:rPr>
          <w:rFonts w:hint="eastAsia" w:ascii="仿宋_GB2312" w:hAnsi="仿宋_GB2312" w:eastAsia="仿宋_GB2312" w:cs="仿宋_GB2312"/>
          <w:sz w:val="32"/>
          <w:szCs w:val="32"/>
          <w:lang w:eastAsia="zh-CN"/>
        </w:rPr>
        <w:t>全市</w:t>
      </w:r>
      <w:r>
        <w:rPr>
          <w:rFonts w:hint="eastAsia" w:ascii="仿宋_GB2312" w:hAnsi="仿宋_GB2312" w:eastAsia="仿宋_GB2312" w:cs="仿宋_GB2312"/>
          <w:sz w:val="32"/>
          <w:szCs w:val="32"/>
        </w:rPr>
        <w:t>各级各类医疗和妇幼保健计划生育服务机构开展的妇幼</w:t>
      </w:r>
      <w:r>
        <w:rPr>
          <w:rFonts w:hint="eastAsia" w:ascii="仿宋_GB2312" w:hAnsi="仿宋_GB2312" w:eastAsia="仿宋_GB2312" w:cs="仿宋_GB2312"/>
          <w:sz w:val="32"/>
          <w:szCs w:val="32"/>
          <w:lang w:eastAsia="zh-CN"/>
        </w:rPr>
        <w:t>保健</w:t>
      </w:r>
      <w:r>
        <w:rPr>
          <w:rFonts w:hint="eastAsia" w:ascii="仿宋_GB2312" w:hAnsi="仿宋_GB2312" w:eastAsia="仿宋_GB2312" w:cs="仿宋_GB2312"/>
          <w:sz w:val="32"/>
          <w:szCs w:val="32"/>
        </w:rPr>
        <w:t>、计划生育服务进行检查、考核与评价。负责全市孕产妇死亡、婴儿及5岁以下儿童死亡、出生缺陷监测、妇幼</w:t>
      </w:r>
      <w:r>
        <w:rPr>
          <w:rFonts w:hint="eastAsia" w:ascii="仿宋_GB2312" w:hAnsi="仿宋_GB2312" w:eastAsia="仿宋_GB2312" w:cs="仿宋_GB2312"/>
          <w:sz w:val="32"/>
          <w:szCs w:val="32"/>
          <w:lang w:eastAsia="zh-CN"/>
        </w:rPr>
        <w:t>保健</w:t>
      </w:r>
      <w:r>
        <w:rPr>
          <w:rFonts w:hint="eastAsia" w:ascii="仿宋_GB2312" w:hAnsi="仿宋_GB2312" w:eastAsia="仿宋_GB2312" w:cs="仿宋_GB2312"/>
          <w:sz w:val="32"/>
          <w:szCs w:val="32"/>
        </w:rPr>
        <w:t>服务及技术管理等信息的收集、统计、分析、质量控制和汇总上报。</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开展母婴保健技术鉴定、计划生育手术并发症鉴定及病残儿医学鉴定等工作。</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负责指导和开展全市妇幼保健</w:t>
      </w:r>
      <w:r>
        <w:rPr>
          <w:rFonts w:hint="eastAsia" w:ascii="仿宋_GB2312" w:hAnsi="仿宋_GB2312" w:eastAsia="仿宋_GB2312" w:cs="仿宋_GB2312"/>
          <w:sz w:val="32"/>
          <w:szCs w:val="32"/>
          <w:lang w:eastAsia="zh-CN"/>
        </w:rPr>
        <w:t>及计划生育</w:t>
      </w:r>
      <w:r>
        <w:rPr>
          <w:rFonts w:hint="eastAsia" w:ascii="仿宋_GB2312" w:hAnsi="仿宋_GB2312" w:eastAsia="仿宋_GB2312" w:cs="仿宋_GB2312"/>
          <w:sz w:val="32"/>
          <w:szCs w:val="32"/>
        </w:rPr>
        <w:t>健康教育与健康促进工作；组织实施本辖区妇幼保健和计划生育技术培训，对基层医疗、妇幼保健计划生育机构</w:t>
      </w:r>
      <w:r>
        <w:rPr>
          <w:rFonts w:hint="eastAsia" w:ascii="仿宋_GB2312" w:hAnsi="仿宋_GB2312" w:eastAsia="仿宋_GB2312" w:cs="仿宋_GB2312"/>
          <w:sz w:val="32"/>
          <w:szCs w:val="32"/>
          <w:lang w:val="en-US" w:eastAsia="zh-CN"/>
        </w:rPr>
        <w:t>进行</w:t>
      </w:r>
      <w:r>
        <w:rPr>
          <w:rFonts w:hint="eastAsia" w:ascii="仿宋_GB2312" w:hAnsi="仿宋_GB2312" w:eastAsia="仿宋_GB2312" w:cs="仿宋_GB2312"/>
          <w:sz w:val="32"/>
          <w:szCs w:val="32"/>
        </w:rPr>
        <w:t>业务指导</w:t>
      </w:r>
      <w:r>
        <w:rPr>
          <w:rFonts w:hint="eastAsia" w:ascii="仿宋_GB2312" w:hAnsi="仿宋_GB2312" w:eastAsia="仿宋_GB2312" w:cs="仿宋_GB2312"/>
          <w:sz w:val="32"/>
          <w:szCs w:val="32"/>
          <w:lang w:eastAsia="zh-CN"/>
        </w:rPr>
        <w:t>，接受转诊</w:t>
      </w:r>
      <w:r>
        <w:rPr>
          <w:rFonts w:hint="eastAsia" w:ascii="仿宋_GB2312" w:hAnsi="仿宋_GB2312" w:eastAsia="仿宋_GB2312" w:cs="仿宋_GB2312"/>
          <w:sz w:val="32"/>
          <w:szCs w:val="32"/>
        </w:rPr>
        <w:t>。</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开展妇女保健服务</w:t>
      </w:r>
      <w:r>
        <w:rPr>
          <w:rFonts w:hint="eastAsia" w:ascii="仿宋_GB2312" w:hAnsi="仿宋_GB2312" w:eastAsia="仿宋_GB2312" w:cs="仿宋_GB2312"/>
          <w:sz w:val="32"/>
          <w:szCs w:val="32"/>
          <w:lang w:eastAsia="zh-CN"/>
        </w:rPr>
        <w:t>和儿童保健服务</w:t>
      </w:r>
      <w:r>
        <w:rPr>
          <w:rFonts w:hint="eastAsia" w:ascii="仿宋_GB2312" w:hAnsi="仿宋_GB2312" w:eastAsia="仿宋_GB2312" w:cs="仿宋_GB2312"/>
          <w:sz w:val="32"/>
          <w:szCs w:val="32"/>
        </w:rPr>
        <w:t>，包括青春期保健、婚前和孕前保健、孕产期保健、更年期保健、老年期保健</w:t>
      </w:r>
      <w:r>
        <w:rPr>
          <w:rFonts w:hint="eastAsia" w:ascii="仿宋_GB2312" w:hAnsi="仿宋_GB2312" w:eastAsia="仿宋_GB2312" w:cs="仿宋_GB2312"/>
          <w:sz w:val="32"/>
          <w:szCs w:val="32"/>
          <w:lang w:eastAsia="zh-CN"/>
        </w:rPr>
        <w:t>和</w:t>
      </w:r>
      <w:r>
        <w:rPr>
          <w:rFonts w:hint="eastAsia" w:ascii="仿宋_GB2312" w:hAnsi="仿宋_GB2312" w:eastAsia="仿宋_GB2312" w:cs="仿宋_GB2312"/>
          <w:sz w:val="32"/>
          <w:szCs w:val="32"/>
        </w:rPr>
        <w:t>胎儿期、婴幼儿期、学龄前期及学龄期保健，受卫生计生行政部门委托对托幼园</w:t>
      </w:r>
      <w:r>
        <w:rPr>
          <w:rFonts w:hint="eastAsia" w:ascii="仿宋_GB2312" w:hAnsi="仿宋_GB2312" w:eastAsia="仿宋_GB2312" w:cs="仿宋_GB2312"/>
          <w:sz w:val="32"/>
          <w:szCs w:val="32"/>
          <w:lang w:eastAsia="zh-CN"/>
        </w:rPr>
        <w:t>机构</w:t>
      </w:r>
      <w:r>
        <w:rPr>
          <w:rFonts w:hint="eastAsia" w:ascii="仿宋_GB2312" w:hAnsi="仿宋_GB2312" w:eastAsia="仿宋_GB2312" w:cs="仿宋_GB2312"/>
          <w:sz w:val="32"/>
          <w:szCs w:val="32"/>
        </w:rPr>
        <w:t>卫生保健进行管理和业务指导。</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开展男性生殖保健服务，围绕男性生育、节育、不育、性功能障碍、常见生殖道感染</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性传播疾病等开展相关咨询及医疗保健服务。</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7.</w:t>
      </w:r>
      <w:r>
        <w:rPr>
          <w:rFonts w:hint="eastAsia" w:ascii="仿宋_GB2312" w:hAnsi="仿宋_GB2312" w:eastAsia="仿宋_GB2312" w:cs="仿宋_GB2312"/>
          <w:sz w:val="32"/>
          <w:szCs w:val="32"/>
        </w:rPr>
        <w:t>开展妇女儿童常见疾病诊治、妇女“两癌”筛查、产前筛查、助产技术服务、婚前医学检查、孕前优生健康检查、出生缺陷防治、产科并发症处理、新生儿</w:t>
      </w:r>
      <w:r>
        <w:rPr>
          <w:rFonts w:hint="eastAsia" w:ascii="仿宋_GB2312" w:hAnsi="仿宋_GB2312" w:eastAsia="仿宋_GB2312" w:cs="仿宋_GB2312"/>
          <w:sz w:val="32"/>
          <w:szCs w:val="32"/>
          <w:lang w:eastAsia="zh-CN"/>
        </w:rPr>
        <w:t>疾病</w:t>
      </w:r>
      <w:r>
        <w:rPr>
          <w:rFonts w:hint="eastAsia" w:ascii="仿宋_GB2312" w:hAnsi="仿宋_GB2312" w:eastAsia="仿宋_GB2312" w:cs="仿宋_GB2312"/>
          <w:sz w:val="32"/>
          <w:szCs w:val="32"/>
        </w:rPr>
        <w:t>筛查、新生儿危重症抢救和治疗</w:t>
      </w:r>
      <w:r>
        <w:rPr>
          <w:rFonts w:hint="eastAsia" w:ascii="仿宋_GB2312" w:hAnsi="仿宋_GB2312" w:eastAsia="仿宋_GB2312" w:cs="仿宋_GB2312"/>
          <w:sz w:val="32"/>
          <w:szCs w:val="32"/>
          <w:lang w:eastAsia="zh-CN"/>
        </w:rPr>
        <w:t>及</w:t>
      </w:r>
      <w:r>
        <w:rPr>
          <w:rFonts w:hint="eastAsia" w:ascii="仿宋_GB2312" w:hAnsi="仿宋_GB2312" w:eastAsia="仿宋_GB2312" w:cs="仿宋_GB2312"/>
          <w:sz w:val="32"/>
          <w:szCs w:val="32"/>
        </w:rPr>
        <w:t>开展计划生育技术指导、咨询及相关临床医疗服务。</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8.</w:t>
      </w:r>
      <w:r>
        <w:rPr>
          <w:rFonts w:hint="eastAsia" w:ascii="仿宋_GB2312" w:hAnsi="仿宋_GB2312" w:eastAsia="仿宋_GB2312" w:cs="仿宋_GB2312"/>
          <w:sz w:val="32"/>
          <w:szCs w:val="32"/>
        </w:rPr>
        <w:t>协助上级医疗保健机构开展妇幼卫生、计划生育、生殖健康的应用性科学研究并组织推广适宜技术</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配合疾病预防控制部门做好计划免疫接种和传染病管理工作。</w:t>
      </w:r>
    </w:p>
    <w:p>
      <w:pPr>
        <w:ind w:firstLine="640" w:firstLineChars="200"/>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9.</w:t>
      </w:r>
      <w:r>
        <w:rPr>
          <w:rFonts w:hint="eastAsia" w:ascii="仿宋_GB2312" w:hAnsi="仿宋_GB2312" w:eastAsia="仿宋_GB2312" w:cs="仿宋_GB2312"/>
          <w:sz w:val="32"/>
          <w:szCs w:val="32"/>
          <w:lang w:eastAsia="zh-CN"/>
        </w:rPr>
        <w:t>完成上级交办的临时性任务。</w:t>
      </w:r>
    </w:p>
    <w:bookmarkEnd w:id="20"/>
    <w:bookmarkEnd w:id="21"/>
    <w:p>
      <w:pPr>
        <w:rPr>
          <w:rFonts w:hint="eastAsia"/>
          <w:lang w:eastAsia="zh-CN"/>
        </w:rPr>
      </w:pPr>
    </w:p>
    <w:p>
      <w:pPr>
        <w:ind w:firstLine="640" w:firstLineChars="200"/>
        <w:jc w:val="left"/>
        <w:rPr>
          <w:rFonts w:ascii="黑体" w:hAnsi="黑体" w:eastAsia="黑体"/>
          <w:sz w:val="32"/>
          <w:szCs w:val="32"/>
        </w:rPr>
      </w:pPr>
      <w:bookmarkStart w:id="22" w:name="_Toc27196"/>
      <w:r>
        <w:rPr>
          <w:rFonts w:hint="eastAsia" w:ascii="黑体" w:hAnsi="黑体" w:eastAsia="黑体"/>
          <w:sz w:val="32"/>
          <w:szCs w:val="32"/>
          <w:lang w:eastAsia="zh-CN"/>
        </w:rPr>
        <w:t>（</w:t>
      </w:r>
      <w:r>
        <w:rPr>
          <w:rFonts w:hint="eastAsia" w:ascii="黑体" w:hAnsi="黑体" w:eastAsia="黑体"/>
          <w:sz w:val="32"/>
          <w:szCs w:val="32"/>
        </w:rPr>
        <w:t>一</w:t>
      </w:r>
      <w:r>
        <w:rPr>
          <w:rFonts w:hint="eastAsia" w:ascii="黑体" w:hAnsi="黑体" w:eastAsia="黑体"/>
          <w:sz w:val="32"/>
          <w:szCs w:val="32"/>
          <w:lang w:eastAsia="zh-CN"/>
        </w:rPr>
        <w:t>）</w:t>
      </w:r>
      <w:r>
        <w:rPr>
          <w:rFonts w:hint="eastAsia" w:ascii="黑体" w:hAnsi="黑体" w:eastAsia="黑体"/>
          <w:sz w:val="32"/>
          <w:szCs w:val="32"/>
        </w:rPr>
        <w:t>工作指标完成情况</w:t>
      </w:r>
    </w:p>
    <w:p>
      <w:pPr>
        <w:ind w:firstLine="640" w:firstLineChars="200"/>
        <w:jc w:val="left"/>
        <w:rPr>
          <w:rFonts w:ascii="楷体" w:hAnsi="楷体" w:eastAsia="楷体"/>
          <w:sz w:val="32"/>
          <w:szCs w:val="32"/>
        </w:rPr>
      </w:pPr>
      <w:r>
        <w:rPr>
          <w:rFonts w:hint="eastAsia" w:ascii="楷体" w:hAnsi="楷体" w:eastAsia="楷体"/>
          <w:sz w:val="32"/>
          <w:szCs w:val="32"/>
          <w:lang w:val="en-US" w:eastAsia="zh-CN"/>
        </w:rPr>
        <w:t>1.</w:t>
      </w:r>
      <w:r>
        <w:rPr>
          <w:rFonts w:hint="eastAsia" w:ascii="楷体" w:hAnsi="楷体" w:eastAsia="楷体"/>
          <w:sz w:val="32"/>
          <w:szCs w:val="32"/>
        </w:rPr>
        <w:t>艾滋病感染</w:t>
      </w:r>
      <w:r>
        <w:rPr>
          <w:rFonts w:ascii="楷体" w:hAnsi="楷体" w:eastAsia="楷体"/>
          <w:sz w:val="32"/>
          <w:szCs w:val="32"/>
        </w:rPr>
        <w:t>育龄妇女管理</w:t>
      </w:r>
    </w:p>
    <w:p>
      <w:pPr>
        <w:ind w:firstLine="640" w:firstLineChars="200"/>
        <w:jc w:val="left"/>
        <w:rPr>
          <w:rFonts w:ascii="仿宋" w:hAnsi="仿宋" w:eastAsia="仿宋"/>
          <w:sz w:val="32"/>
          <w:szCs w:val="32"/>
        </w:rPr>
      </w:pPr>
      <w:r>
        <w:rPr>
          <w:rFonts w:hint="eastAsia" w:ascii="仿宋" w:hAnsi="仿宋" w:eastAsia="仿宋"/>
          <w:sz w:val="32"/>
          <w:szCs w:val="32"/>
        </w:rPr>
        <w:t>截</w:t>
      </w:r>
      <w:r>
        <w:rPr>
          <w:rFonts w:hint="eastAsia" w:ascii="仿宋" w:hAnsi="仿宋" w:eastAsia="仿宋"/>
          <w:sz w:val="32"/>
          <w:szCs w:val="32"/>
          <w:lang w:val="en-US" w:eastAsia="zh-CN"/>
        </w:rPr>
        <w:t>至</w:t>
      </w:r>
      <w:r>
        <w:rPr>
          <w:rFonts w:hint="eastAsia" w:ascii="仿宋" w:hAnsi="仿宋" w:eastAsia="仿宋"/>
          <w:sz w:val="32"/>
          <w:szCs w:val="32"/>
        </w:rPr>
        <w:t>2022年12月31日</w:t>
      </w:r>
      <w:r>
        <w:rPr>
          <w:rFonts w:ascii="仿宋" w:hAnsi="仿宋" w:eastAsia="仿宋"/>
          <w:sz w:val="32"/>
          <w:szCs w:val="32"/>
        </w:rPr>
        <w:t>，我市现存活</w:t>
      </w:r>
      <w:r>
        <w:rPr>
          <w:rFonts w:hint="eastAsia" w:ascii="仿宋" w:hAnsi="仿宋" w:eastAsia="仿宋"/>
          <w:sz w:val="32"/>
          <w:szCs w:val="32"/>
        </w:rPr>
        <w:t>HIV感染</w:t>
      </w:r>
      <w:r>
        <w:rPr>
          <w:rFonts w:ascii="仿宋" w:hAnsi="仿宋" w:eastAsia="仿宋"/>
          <w:sz w:val="32"/>
          <w:szCs w:val="32"/>
        </w:rPr>
        <w:t>育龄妇女</w:t>
      </w:r>
      <w:r>
        <w:rPr>
          <w:rFonts w:hint="eastAsia" w:ascii="仿宋" w:hAnsi="仿宋" w:eastAsia="仿宋"/>
          <w:sz w:val="32"/>
          <w:szCs w:val="32"/>
        </w:rPr>
        <w:t>共2</w:t>
      </w:r>
      <w:r>
        <w:rPr>
          <w:rFonts w:ascii="仿宋" w:hAnsi="仿宋" w:eastAsia="仿宋"/>
          <w:sz w:val="32"/>
          <w:szCs w:val="32"/>
        </w:rPr>
        <w:t>00</w:t>
      </w:r>
      <w:r>
        <w:rPr>
          <w:rFonts w:hint="eastAsia" w:ascii="仿宋" w:hAnsi="仿宋" w:eastAsia="仿宋"/>
          <w:sz w:val="32"/>
          <w:szCs w:val="32"/>
        </w:rPr>
        <w:t>例。</w:t>
      </w:r>
      <w:r>
        <w:rPr>
          <w:rFonts w:ascii="仿宋" w:hAnsi="仿宋" w:eastAsia="仿宋"/>
          <w:sz w:val="32"/>
          <w:szCs w:val="32"/>
        </w:rPr>
        <w:t>HIV感染育龄妇女</w:t>
      </w:r>
      <w:r>
        <w:rPr>
          <w:rFonts w:hint="eastAsia" w:ascii="仿宋" w:hAnsi="仿宋" w:eastAsia="仿宋"/>
          <w:sz w:val="32"/>
          <w:szCs w:val="32"/>
        </w:rPr>
        <w:t>第4季度</w:t>
      </w:r>
      <w:r>
        <w:rPr>
          <w:rFonts w:ascii="仿宋" w:hAnsi="仿宋" w:eastAsia="仿宋"/>
          <w:sz w:val="32"/>
          <w:szCs w:val="32"/>
        </w:rPr>
        <w:t>孕情检测覆盖率</w:t>
      </w:r>
      <w:r>
        <w:rPr>
          <w:rFonts w:hint="eastAsia" w:ascii="仿宋" w:hAnsi="仿宋" w:eastAsia="仿宋"/>
          <w:sz w:val="32"/>
          <w:szCs w:val="32"/>
          <w:lang w:val="en-US" w:eastAsia="zh-CN"/>
        </w:rPr>
        <w:t>为</w:t>
      </w:r>
      <w:r>
        <w:rPr>
          <w:rFonts w:hint="eastAsia" w:ascii="仿宋" w:hAnsi="仿宋" w:eastAsia="仿宋"/>
          <w:sz w:val="32"/>
          <w:szCs w:val="32"/>
        </w:rPr>
        <w:t>97.5</w:t>
      </w:r>
      <w:r>
        <w:rPr>
          <w:rFonts w:ascii="仿宋" w:hAnsi="仿宋" w:eastAsia="仿宋"/>
          <w:sz w:val="32"/>
          <w:szCs w:val="32"/>
        </w:rPr>
        <w:t>0%，</w:t>
      </w:r>
      <w:r>
        <w:rPr>
          <w:rFonts w:hint="eastAsia" w:ascii="仿宋" w:hAnsi="仿宋" w:eastAsia="仿宋"/>
          <w:sz w:val="32"/>
          <w:szCs w:val="32"/>
        </w:rPr>
        <w:t>达到了</w:t>
      </w:r>
      <w:r>
        <w:rPr>
          <w:rFonts w:ascii="仿宋" w:hAnsi="仿宋" w:eastAsia="仿宋"/>
          <w:sz w:val="32"/>
          <w:szCs w:val="32"/>
        </w:rPr>
        <w:t>省级</w:t>
      </w:r>
      <w:r>
        <w:rPr>
          <w:rFonts w:hint="eastAsia" w:ascii="仿宋" w:hAnsi="仿宋" w:eastAsia="仿宋"/>
          <w:sz w:val="32"/>
          <w:szCs w:val="32"/>
        </w:rPr>
        <w:t>2</w:t>
      </w:r>
      <w:r>
        <w:rPr>
          <w:rFonts w:ascii="仿宋" w:hAnsi="仿宋" w:eastAsia="仿宋"/>
          <w:sz w:val="32"/>
          <w:szCs w:val="32"/>
        </w:rPr>
        <w:t>022</w:t>
      </w:r>
      <w:r>
        <w:rPr>
          <w:rFonts w:hint="eastAsia" w:ascii="仿宋" w:hAnsi="仿宋" w:eastAsia="仿宋"/>
          <w:sz w:val="32"/>
          <w:szCs w:val="32"/>
        </w:rPr>
        <w:t>年</w:t>
      </w:r>
      <w:r>
        <w:rPr>
          <w:rFonts w:ascii="仿宋" w:hAnsi="仿宋" w:eastAsia="仿宋"/>
          <w:sz w:val="32"/>
          <w:szCs w:val="32"/>
        </w:rPr>
        <w:t>工作要点</w:t>
      </w:r>
      <w:r>
        <w:rPr>
          <w:rFonts w:hint="eastAsia" w:ascii="仿宋" w:hAnsi="仿宋" w:eastAsia="仿宋"/>
          <w:sz w:val="32"/>
          <w:szCs w:val="32"/>
        </w:rPr>
        <w:t>92</w:t>
      </w:r>
      <w:r>
        <w:rPr>
          <w:rFonts w:ascii="仿宋" w:hAnsi="仿宋" w:eastAsia="仿宋"/>
          <w:sz w:val="32"/>
          <w:szCs w:val="32"/>
        </w:rPr>
        <w:t>%</w:t>
      </w:r>
      <w:r>
        <w:rPr>
          <w:rFonts w:hint="eastAsia" w:ascii="仿宋" w:hAnsi="仿宋" w:eastAsia="仿宋"/>
          <w:sz w:val="32"/>
          <w:szCs w:val="32"/>
        </w:rPr>
        <w:t>的</w:t>
      </w:r>
      <w:r>
        <w:rPr>
          <w:rFonts w:ascii="仿宋" w:hAnsi="仿宋" w:eastAsia="仿宋"/>
          <w:sz w:val="32"/>
          <w:szCs w:val="32"/>
        </w:rPr>
        <w:t>目标要求。HIV感染育龄妇女抗病毒治疗覆盖率</w:t>
      </w:r>
      <w:r>
        <w:rPr>
          <w:rFonts w:hint="eastAsia" w:ascii="仿宋" w:hAnsi="仿宋" w:eastAsia="仿宋"/>
          <w:sz w:val="32"/>
          <w:szCs w:val="32"/>
        </w:rPr>
        <w:t>为98</w:t>
      </w:r>
      <w:r>
        <w:rPr>
          <w:rFonts w:ascii="仿宋" w:hAnsi="仿宋" w:eastAsia="仿宋"/>
          <w:sz w:val="32"/>
          <w:szCs w:val="32"/>
        </w:rPr>
        <w:t>%</w:t>
      </w:r>
      <w:r>
        <w:rPr>
          <w:rFonts w:hint="eastAsia" w:ascii="仿宋" w:hAnsi="仿宋" w:eastAsia="仿宋"/>
          <w:sz w:val="32"/>
          <w:szCs w:val="32"/>
        </w:rPr>
        <w:t>。</w:t>
      </w:r>
    </w:p>
    <w:p>
      <w:pPr>
        <w:ind w:firstLine="640" w:firstLineChars="200"/>
        <w:jc w:val="left"/>
        <w:rPr>
          <w:rFonts w:ascii="楷体" w:hAnsi="楷体" w:eastAsia="楷体"/>
          <w:sz w:val="32"/>
          <w:szCs w:val="32"/>
        </w:rPr>
      </w:pPr>
      <w:r>
        <w:rPr>
          <w:rFonts w:hint="eastAsia" w:ascii="楷体" w:hAnsi="楷体" w:eastAsia="楷体"/>
          <w:sz w:val="32"/>
          <w:szCs w:val="32"/>
          <w:lang w:val="en-US" w:eastAsia="zh-CN"/>
        </w:rPr>
        <w:t>2.</w:t>
      </w:r>
      <w:r>
        <w:rPr>
          <w:rFonts w:hint="eastAsia" w:ascii="楷体" w:hAnsi="楷体" w:eastAsia="楷体"/>
          <w:sz w:val="32"/>
          <w:szCs w:val="32"/>
        </w:rPr>
        <w:t>目标</w:t>
      </w:r>
      <w:r>
        <w:rPr>
          <w:rFonts w:ascii="楷体" w:hAnsi="楷体" w:eastAsia="楷体"/>
          <w:sz w:val="32"/>
          <w:szCs w:val="32"/>
        </w:rPr>
        <w:t>人群检测</w:t>
      </w:r>
      <w:r>
        <w:rPr>
          <w:rFonts w:hint="eastAsia" w:ascii="楷体" w:hAnsi="楷体" w:eastAsia="楷体"/>
          <w:sz w:val="32"/>
          <w:szCs w:val="32"/>
        </w:rPr>
        <w:t>情况</w:t>
      </w:r>
    </w:p>
    <w:p>
      <w:pPr>
        <w:ind w:firstLine="640" w:firstLineChars="200"/>
        <w:jc w:val="left"/>
        <w:rPr>
          <w:rFonts w:ascii="楷体" w:hAnsi="楷体" w:eastAsia="楷体"/>
          <w:sz w:val="32"/>
          <w:szCs w:val="32"/>
        </w:rPr>
      </w:pPr>
      <w:r>
        <w:rPr>
          <w:rFonts w:hint="eastAsia" w:ascii="仿宋" w:hAnsi="仿宋" w:eastAsia="仿宋"/>
          <w:sz w:val="32"/>
          <w:szCs w:val="32"/>
        </w:rPr>
        <w:t>全年婚前保健人群接受</w:t>
      </w:r>
      <w:r>
        <w:rPr>
          <w:rFonts w:ascii="仿宋" w:hAnsi="仿宋" w:eastAsia="仿宋"/>
          <w:sz w:val="32"/>
          <w:szCs w:val="32"/>
        </w:rPr>
        <w:t>艾滋病检测</w:t>
      </w:r>
      <w:r>
        <w:rPr>
          <w:rFonts w:hint="eastAsia" w:ascii="仿宋" w:hAnsi="仿宋" w:eastAsia="仿宋"/>
          <w:sz w:val="32"/>
          <w:szCs w:val="32"/>
        </w:rPr>
        <w:t>1</w:t>
      </w:r>
      <w:r>
        <w:rPr>
          <w:rFonts w:ascii="仿宋" w:hAnsi="仿宋" w:eastAsia="仿宋"/>
          <w:sz w:val="32"/>
          <w:szCs w:val="32"/>
        </w:rPr>
        <w:t>9251</w:t>
      </w:r>
      <w:r>
        <w:rPr>
          <w:rFonts w:hint="eastAsia" w:ascii="仿宋" w:hAnsi="仿宋" w:eastAsia="仿宋"/>
          <w:sz w:val="32"/>
          <w:szCs w:val="32"/>
        </w:rPr>
        <w:t>人</w:t>
      </w:r>
      <w:r>
        <w:rPr>
          <w:rFonts w:ascii="仿宋" w:hAnsi="仿宋" w:eastAsia="仿宋"/>
          <w:sz w:val="32"/>
          <w:szCs w:val="32"/>
        </w:rPr>
        <w:t>，</w:t>
      </w:r>
      <w:r>
        <w:rPr>
          <w:rFonts w:hint="eastAsia" w:ascii="仿宋" w:hAnsi="仿宋" w:eastAsia="仿宋"/>
          <w:sz w:val="32"/>
          <w:szCs w:val="32"/>
        </w:rPr>
        <w:t>检测率100%。接受</w:t>
      </w:r>
      <w:r>
        <w:rPr>
          <w:rFonts w:ascii="仿宋" w:hAnsi="仿宋" w:eastAsia="仿宋"/>
          <w:sz w:val="32"/>
          <w:szCs w:val="32"/>
        </w:rPr>
        <w:t>艾滋病、梅毒和乙肝检测</w:t>
      </w:r>
      <w:r>
        <w:rPr>
          <w:rFonts w:hint="eastAsia" w:ascii="仿宋" w:hAnsi="仿宋" w:eastAsia="仿宋"/>
          <w:sz w:val="32"/>
          <w:szCs w:val="32"/>
        </w:rPr>
        <w:t>孕产妇1</w:t>
      </w:r>
      <w:r>
        <w:rPr>
          <w:rFonts w:ascii="仿宋" w:hAnsi="仿宋" w:eastAsia="仿宋"/>
          <w:sz w:val="32"/>
          <w:szCs w:val="32"/>
        </w:rPr>
        <w:t>6063人，</w:t>
      </w:r>
      <w:r>
        <w:rPr>
          <w:rFonts w:hint="eastAsia" w:ascii="仿宋" w:hAnsi="仿宋" w:eastAsia="仿宋"/>
          <w:sz w:val="32"/>
          <w:szCs w:val="32"/>
        </w:rPr>
        <w:t>孕产妇“三病”</w:t>
      </w:r>
      <w:r>
        <w:rPr>
          <w:rFonts w:ascii="仿宋" w:hAnsi="仿宋" w:eastAsia="仿宋"/>
          <w:sz w:val="32"/>
          <w:szCs w:val="32"/>
        </w:rPr>
        <w:t>检测率</w:t>
      </w:r>
      <w:r>
        <w:rPr>
          <w:rFonts w:hint="eastAsia" w:ascii="仿宋" w:hAnsi="仿宋" w:eastAsia="仿宋"/>
          <w:sz w:val="32"/>
          <w:szCs w:val="32"/>
        </w:rPr>
        <w:t>99.98</w:t>
      </w:r>
      <w:r>
        <w:rPr>
          <w:rFonts w:ascii="仿宋" w:hAnsi="仿宋" w:eastAsia="仿宋"/>
          <w:sz w:val="32"/>
          <w:szCs w:val="32"/>
        </w:rPr>
        <w:t>%，孕期检测率</w:t>
      </w:r>
      <w:r>
        <w:rPr>
          <w:rFonts w:hint="eastAsia" w:ascii="仿宋" w:hAnsi="仿宋" w:eastAsia="仿宋"/>
          <w:sz w:val="32"/>
          <w:szCs w:val="32"/>
        </w:rPr>
        <w:t>99.93</w:t>
      </w:r>
      <w:r>
        <w:rPr>
          <w:rFonts w:ascii="仿宋" w:hAnsi="仿宋" w:eastAsia="仿宋"/>
          <w:sz w:val="32"/>
          <w:szCs w:val="32"/>
        </w:rPr>
        <w:t>%，孕早期检测率</w:t>
      </w:r>
      <w:r>
        <w:rPr>
          <w:rFonts w:hint="eastAsia" w:ascii="仿宋" w:hAnsi="仿宋" w:eastAsia="仿宋"/>
          <w:sz w:val="32"/>
          <w:szCs w:val="32"/>
        </w:rPr>
        <w:t>95.13</w:t>
      </w:r>
      <w:r>
        <w:rPr>
          <w:rFonts w:ascii="仿宋" w:hAnsi="仿宋" w:eastAsia="仿宋"/>
          <w:sz w:val="32"/>
          <w:szCs w:val="32"/>
        </w:rPr>
        <w:t>%。</w:t>
      </w:r>
      <w:r>
        <w:rPr>
          <w:rFonts w:hint="eastAsia" w:ascii="仿宋" w:hAnsi="仿宋" w:eastAsia="仿宋"/>
          <w:sz w:val="32"/>
          <w:szCs w:val="32"/>
        </w:rPr>
        <w:t>与</w:t>
      </w:r>
      <w:r>
        <w:rPr>
          <w:rFonts w:ascii="仿宋" w:hAnsi="仿宋" w:eastAsia="仿宋"/>
          <w:sz w:val="32"/>
          <w:szCs w:val="32"/>
        </w:rPr>
        <w:t>2018</w:t>
      </w:r>
      <w:r>
        <w:rPr>
          <w:rFonts w:hint="eastAsia" w:ascii="仿宋" w:hAnsi="仿宋" w:eastAsia="仿宋"/>
          <w:sz w:val="32"/>
          <w:szCs w:val="32"/>
        </w:rPr>
        <w:t>年相比，孕产妇孕早期检测率明显上升，较201</w:t>
      </w:r>
      <w:r>
        <w:rPr>
          <w:rFonts w:ascii="仿宋" w:hAnsi="仿宋" w:eastAsia="仿宋"/>
          <w:sz w:val="32"/>
          <w:szCs w:val="32"/>
        </w:rPr>
        <w:t>8</w:t>
      </w:r>
      <w:r>
        <w:rPr>
          <w:rFonts w:hint="eastAsia" w:ascii="仿宋" w:hAnsi="仿宋" w:eastAsia="仿宋"/>
          <w:sz w:val="32"/>
          <w:szCs w:val="32"/>
        </w:rPr>
        <w:t>年的83.51%上升了13.91%。</w:t>
      </w:r>
    </w:p>
    <w:p>
      <w:pPr>
        <w:jc w:val="center"/>
        <w:rPr>
          <w:rFonts w:hint="eastAsia" w:ascii="仿宋" w:hAnsi="仿宋" w:eastAsia="仿宋"/>
          <w:sz w:val="28"/>
          <w:szCs w:val="28"/>
        </w:rPr>
      </w:pPr>
    </w:p>
    <w:p>
      <w:pPr>
        <w:jc w:val="center"/>
        <w:rPr>
          <w:rFonts w:ascii="仿宋" w:hAnsi="仿宋" w:eastAsia="仿宋"/>
          <w:sz w:val="28"/>
          <w:szCs w:val="28"/>
        </w:rPr>
      </w:pPr>
      <w:r>
        <w:rPr>
          <w:rFonts w:hint="eastAsia" w:ascii="仿宋" w:hAnsi="仿宋" w:eastAsia="仿宋"/>
          <w:sz w:val="28"/>
          <w:szCs w:val="28"/>
        </w:rPr>
        <w:t>图1  201</w:t>
      </w:r>
      <w:r>
        <w:rPr>
          <w:rFonts w:ascii="仿宋" w:hAnsi="仿宋" w:eastAsia="仿宋"/>
          <w:sz w:val="28"/>
          <w:szCs w:val="28"/>
        </w:rPr>
        <w:t>8</w:t>
      </w:r>
      <w:r>
        <w:rPr>
          <w:rFonts w:hint="eastAsia" w:ascii="仿宋" w:hAnsi="仿宋" w:eastAsia="仿宋"/>
          <w:sz w:val="28"/>
          <w:szCs w:val="28"/>
        </w:rPr>
        <w:t>—202</w:t>
      </w:r>
      <w:r>
        <w:rPr>
          <w:rFonts w:ascii="仿宋" w:hAnsi="仿宋" w:eastAsia="仿宋"/>
          <w:sz w:val="28"/>
          <w:szCs w:val="28"/>
        </w:rPr>
        <w:t>2</w:t>
      </w:r>
      <w:r>
        <w:rPr>
          <w:rFonts w:hint="eastAsia" w:ascii="仿宋" w:hAnsi="仿宋" w:eastAsia="仿宋"/>
          <w:sz w:val="28"/>
          <w:szCs w:val="28"/>
        </w:rPr>
        <w:t>年孕产妇艾滋病</w:t>
      </w:r>
      <w:r>
        <w:rPr>
          <w:rFonts w:ascii="仿宋" w:hAnsi="仿宋" w:eastAsia="仿宋"/>
          <w:sz w:val="28"/>
          <w:szCs w:val="28"/>
        </w:rPr>
        <w:t>、梅毒和乙肝</w:t>
      </w:r>
      <w:r>
        <w:rPr>
          <w:rFonts w:hint="eastAsia" w:ascii="仿宋" w:hAnsi="仿宋" w:eastAsia="仿宋"/>
          <w:sz w:val="28"/>
          <w:szCs w:val="28"/>
        </w:rPr>
        <w:t>检测率变化情况</w:t>
      </w:r>
    </w:p>
    <w:p>
      <w:pPr>
        <w:spacing w:after="156" w:afterLines="50"/>
        <w:jc w:val="center"/>
        <w:rPr>
          <w:rFonts w:ascii="仿宋" w:hAnsi="仿宋" w:eastAsia="仿宋"/>
          <w:sz w:val="30"/>
          <w:szCs w:val="30"/>
        </w:rPr>
      </w:pPr>
      <w:r>
        <w:rPr>
          <w:rFonts w:hint="eastAsia" w:ascii="仿宋" w:hAnsi="仿宋" w:eastAsia="仿宋"/>
          <w:sz w:val="30"/>
          <w:szCs w:val="30"/>
        </w:rPr>
        <w:drawing>
          <wp:inline distT="0" distB="0" distL="0" distR="0">
            <wp:extent cx="4876800" cy="2352675"/>
            <wp:effectExtent l="4445" t="4445" r="14605" b="508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pPr>
        <w:ind w:firstLine="640" w:firstLineChars="200"/>
        <w:jc w:val="left"/>
        <w:rPr>
          <w:rFonts w:hint="eastAsia" w:ascii="楷体" w:hAnsi="楷体" w:eastAsia="楷体"/>
          <w:sz w:val="32"/>
          <w:szCs w:val="32"/>
          <w:lang w:val="en-US" w:eastAsia="zh-CN"/>
        </w:rPr>
      </w:pPr>
    </w:p>
    <w:p>
      <w:pPr>
        <w:ind w:firstLine="640" w:firstLineChars="200"/>
        <w:jc w:val="left"/>
        <w:rPr>
          <w:rFonts w:ascii="楷体" w:hAnsi="楷体" w:eastAsia="楷体"/>
          <w:sz w:val="32"/>
          <w:szCs w:val="32"/>
        </w:rPr>
      </w:pPr>
      <w:r>
        <w:rPr>
          <w:rFonts w:hint="eastAsia" w:ascii="楷体" w:hAnsi="楷体" w:eastAsia="楷体"/>
          <w:sz w:val="32"/>
          <w:szCs w:val="32"/>
          <w:lang w:val="en-US" w:eastAsia="zh-CN"/>
        </w:rPr>
        <w:t>3.</w:t>
      </w:r>
      <w:r>
        <w:rPr>
          <w:rFonts w:hint="eastAsia" w:ascii="楷体" w:hAnsi="楷体" w:eastAsia="楷体"/>
          <w:sz w:val="32"/>
          <w:szCs w:val="32"/>
        </w:rPr>
        <w:t>预防</w:t>
      </w:r>
      <w:r>
        <w:rPr>
          <w:rFonts w:ascii="楷体" w:hAnsi="楷体" w:eastAsia="楷体"/>
          <w:sz w:val="32"/>
          <w:szCs w:val="32"/>
        </w:rPr>
        <w:t>母婴传播综合干预服务情况</w:t>
      </w:r>
    </w:p>
    <w:p>
      <w:pPr>
        <w:ind w:firstLine="640" w:firstLineChars="200"/>
        <w:jc w:val="left"/>
        <w:rPr>
          <w:rFonts w:ascii="仿宋" w:hAnsi="仿宋" w:eastAsia="仿宋"/>
          <w:sz w:val="32"/>
          <w:szCs w:val="32"/>
        </w:rPr>
      </w:pPr>
      <w:r>
        <w:rPr>
          <w:rFonts w:hint="eastAsia" w:ascii="仿宋" w:hAnsi="仿宋" w:eastAsia="仿宋"/>
          <w:sz w:val="32"/>
          <w:szCs w:val="32"/>
          <w:lang w:eastAsia="zh-CN"/>
        </w:rPr>
        <w:t>（</w:t>
      </w:r>
      <w:r>
        <w:rPr>
          <w:rFonts w:hint="eastAsia" w:ascii="仿宋" w:hAnsi="仿宋" w:eastAsia="仿宋"/>
          <w:sz w:val="32"/>
          <w:szCs w:val="32"/>
        </w:rPr>
        <w:t>1</w:t>
      </w:r>
      <w:r>
        <w:rPr>
          <w:rFonts w:hint="eastAsia" w:ascii="仿宋" w:hAnsi="仿宋" w:eastAsia="仿宋"/>
          <w:sz w:val="32"/>
          <w:szCs w:val="32"/>
          <w:lang w:eastAsia="zh-CN"/>
        </w:rPr>
        <w:t>）</w:t>
      </w:r>
      <w:r>
        <w:rPr>
          <w:rFonts w:hint="eastAsia" w:ascii="仿宋" w:hAnsi="仿宋" w:eastAsia="仿宋"/>
          <w:sz w:val="32"/>
          <w:szCs w:val="32"/>
        </w:rPr>
        <w:t>艾滋病</w:t>
      </w:r>
      <w:r>
        <w:rPr>
          <w:rFonts w:ascii="仿宋" w:hAnsi="仿宋" w:eastAsia="仿宋"/>
          <w:sz w:val="32"/>
          <w:szCs w:val="32"/>
        </w:rPr>
        <w:t>感染孕产妇及所生儿童干预服务</w:t>
      </w:r>
      <w:r>
        <w:rPr>
          <w:rFonts w:hint="eastAsia" w:ascii="仿宋" w:hAnsi="仿宋" w:eastAsia="仿宋"/>
          <w:sz w:val="32"/>
          <w:szCs w:val="32"/>
        </w:rPr>
        <w:t>指标</w:t>
      </w:r>
      <w:r>
        <w:rPr>
          <w:rFonts w:ascii="仿宋" w:hAnsi="仿宋" w:eastAsia="仿宋"/>
          <w:sz w:val="32"/>
          <w:szCs w:val="32"/>
        </w:rPr>
        <w:t>。</w:t>
      </w:r>
      <w:r>
        <w:rPr>
          <w:rFonts w:hint="eastAsia" w:ascii="仿宋" w:hAnsi="仿宋" w:eastAsia="仿宋"/>
          <w:sz w:val="32"/>
          <w:szCs w:val="32"/>
        </w:rPr>
        <w:t>全年</w:t>
      </w:r>
      <w:r>
        <w:rPr>
          <w:rFonts w:ascii="仿宋" w:hAnsi="仿宋" w:eastAsia="仿宋"/>
          <w:sz w:val="32"/>
          <w:szCs w:val="32"/>
        </w:rPr>
        <w:t>新增HIV感染孕</w:t>
      </w:r>
      <w:r>
        <w:rPr>
          <w:rFonts w:hint="eastAsia" w:ascii="仿宋" w:hAnsi="仿宋" w:eastAsia="仿宋"/>
          <w:sz w:val="32"/>
          <w:szCs w:val="32"/>
        </w:rPr>
        <w:t>产</w:t>
      </w:r>
      <w:r>
        <w:rPr>
          <w:rFonts w:ascii="仿宋" w:hAnsi="仿宋" w:eastAsia="仿宋"/>
          <w:sz w:val="32"/>
          <w:szCs w:val="32"/>
        </w:rPr>
        <w:t>妇16例，其中</w:t>
      </w:r>
      <w:r>
        <w:rPr>
          <w:rFonts w:hint="eastAsia" w:ascii="仿宋" w:hAnsi="仿宋" w:eastAsia="仿宋"/>
          <w:sz w:val="32"/>
          <w:szCs w:val="32"/>
        </w:rPr>
        <w:t>自愿</w:t>
      </w:r>
      <w:r>
        <w:rPr>
          <w:rFonts w:ascii="仿宋" w:hAnsi="仿宋" w:eastAsia="仿宋"/>
          <w:sz w:val="32"/>
          <w:szCs w:val="32"/>
        </w:rPr>
        <w:t>人工终止妊娠13例，</w:t>
      </w:r>
      <w:r>
        <w:rPr>
          <w:rFonts w:hint="eastAsia" w:ascii="仿宋" w:hAnsi="仿宋" w:eastAsia="仿宋"/>
          <w:sz w:val="32"/>
          <w:szCs w:val="32"/>
        </w:rPr>
        <w:t>继续妊娠</w:t>
      </w:r>
      <w:r>
        <w:rPr>
          <w:rFonts w:ascii="仿宋" w:hAnsi="仿宋" w:eastAsia="仿宋"/>
          <w:sz w:val="32"/>
          <w:szCs w:val="32"/>
        </w:rPr>
        <w:t>2例，转</w:t>
      </w:r>
      <w:r>
        <w:rPr>
          <w:rFonts w:hint="eastAsia" w:ascii="仿宋" w:hAnsi="仿宋" w:eastAsia="仿宋"/>
          <w:sz w:val="32"/>
          <w:szCs w:val="32"/>
        </w:rPr>
        <w:t>省内</w:t>
      </w:r>
      <w:r>
        <w:rPr>
          <w:rFonts w:ascii="仿宋" w:hAnsi="仿宋" w:eastAsia="仿宋"/>
          <w:sz w:val="32"/>
          <w:szCs w:val="32"/>
        </w:rPr>
        <w:t>其他</w:t>
      </w:r>
      <w:r>
        <w:rPr>
          <w:rFonts w:hint="eastAsia" w:ascii="仿宋" w:hAnsi="仿宋" w:eastAsia="仿宋"/>
          <w:sz w:val="32"/>
          <w:szCs w:val="32"/>
        </w:rPr>
        <w:t>市</w:t>
      </w:r>
      <w:r>
        <w:rPr>
          <w:rFonts w:ascii="仿宋" w:hAnsi="仿宋" w:eastAsia="仿宋"/>
          <w:sz w:val="32"/>
          <w:szCs w:val="32"/>
        </w:rPr>
        <w:t>（</w:t>
      </w:r>
      <w:r>
        <w:rPr>
          <w:rFonts w:hint="eastAsia" w:ascii="仿宋" w:hAnsi="仿宋" w:eastAsia="仿宋"/>
          <w:sz w:val="32"/>
          <w:szCs w:val="32"/>
        </w:rPr>
        <w:t>州</w:t>
      </w:r>
      <w:r>
        <w:rPr>
          <w:rFonts w:ascii="仿宋" w:hAnsi="仿宋" w:eastAsia="仿宋"/>
          <w:sz w:val="32"/>
          <w:szCs w:val="32"/>
        </w:rPr>
        <w:t>）随访管理1例</w:t>
      </w:r>
      <w:r>
        <w:rPr>
          <w:rFonts w:hint="eastAsia" w:ascii="仿宋" w:hAnsi="仿宋" w:eastAsia="仿宋"/>
          <w:sz w:val="32"/>
          <w:szCs w:val="32"/>
        </w:rPr>
        <w:t>（已</w:t>
      </w:r>
      <w:r>
        <w:rPr>
          <w:rFonts w:ascii="仿宋" w:hAnsi="仿宋" w:eastAsia="仿宋"/>
          <w:sz w:val="32"/>
          <w:szCs w:val="32"/>
        </w:rPr>
        <w:t>人工终止妊娠</w:t>
      </w:r>
      <w:r>
        <w:rPr>
          <w:rFonts w:hint="eastAsia" w:ascii="仿宋" w:hAnsi="仿宋" w:eastAsia="仿宋"/>
          <w:sz w:val="32"/>
          <w:szCs w:val="32"/>
        </w:rPr>
        <w:t>）。年内</w:t>
      </w:r>
      <w:r>
        <w:rPr>
          <w:rFonts w:ascii="仿宋" w:hAnsi="仿宋" w:eastAsia="仿宋"/>
          <w:sz w:val="32"/>
          <w:szCs w:val="32"/>
        </w:rPr>
        <w:t>HIV感染</w:t>
      </w:r>
      <w:r>
        <w:rPr>
          <w:rFonts w:hint="eastAsia" w:ascii="仿宋" w:hAnsi="仿宋" w:eastAsia="仿宋"/>
          <w:sz w:val="32"/>
          <w:szCs w:val="32"/>
        </w:rPr>
        <w:t>孕产妇分娩</w:t>
      </w:r>
      <w:r>
        <w:rPr>
          <w:rFonts w:ascii="仿宋" w:hAnsi="仿宋" w:eastAsia="仿宋"/>
          <w:sz w:val="32"/>
          <w:szCs w:val="32"/>
        </w:rPr>
        <w:t>2例，活产儿2例，HIV感染</w:t>
      </w:r>
      <w:r>
        <w:rPr>
          <w:rFonts w:hint="eastAsia" w:ascii="仿宋" w:hAnsi="仿宋" w:eastAsia="仿宋"/>
          <w:sz w:val="32"/>
          <w:szCs w:val="32"/>
        </w:rPr>
        <w:t>孕</w:t>
      </w:r>
      <w:r>
        <w:rPr>
          <w:rFonts w:ascii="仿宋" w:hAnsi="仿宋" w:eastAsia="仿宋"/>
          <w:sz w:val="32"/>
          <w:szCs w:val="32"/>
        </w:rPr>
        <w:t>产妇抗病毒用药率及孕早期抗病毒用药率均为100%，所生儿童抗病毒用药率100%</w:t>
      </w:r>
      <w:r>
        <w:rPr>
          <w:rFonts w:hint="eastAsia" w:ascii="仿宋" w:hAnsi="仿宋" w:eastAsia="仿宋"/>
          <w:sz w:val="32"/>
          <w:szCs w:val="32"/>
        </w:rPr>
        <w:t>。满6月龄</w:t>
      </w:r>
      <w:r>
        <w:rPr>
          <w:rFonts w:ascii="仿宋" w:hAnsi="仿宋" w:eastAsia="仿宋"/>
          <w:sz w:val="32"/>
          <w:szCs w:val="32"/>
        </w:rPr>
        <w:t>儿童</w:t>
      </w:r>
      <w:r>
        <w:rPr>
          <w:rFonts w:hint="eastAsia" w:ascii="仿宋" w:hAnsi="仿宋" w:eastAsia="仿宋"/>
          <w:sz w:val="32"/>
          <w:szCs w:val="32"/>
        </w:rPr>
        <w:t>2次早期诊断检测率100</w:t>
      </w:r>
      <w:r>
        <w:rPr>
          <w:rFonts w:ascii="仿宋" w:hAnsi="仿宋" w:eastAsia="仿宋"/>
          <w:sz w:val="32"/>
          <w:szCs w:val="32"/>
        </w:rPr>
        <w:t>%，满</w:t>
      </w:r>
      <w:r>
        <w:rPr>
          <w:rFonts w:hint="eastAsia" w:ascii="仿宋" w:hAnsi="仿宋" w:eastAsia="仿宋"/>
          <w:sz w:val="32"/>
          <w:szCs w:val="32"/>
        </w:rPr>
        <w:t>18月龄</w:t>
      </w:r>
      <w:r>
        <w:rPr>
          <w:rFonts w:ascii="仿宋" w:hAnsi="仿宋" w:eastAsia="仿宋"/>
          <w:sz w:val="32"/>
          <w:szCs w:val="32"/>
        </w:rPr>
        <w:t>儿童</w:t>
      </w:r>
      <w:r>
        <w:rPr>
          <w:rFonts w:hint="eastAsia" w:ascii="仿宋" w:hAnsi="仿宋" w:eastAsia="仿宋"/>
          <w:sz w:val="32"/>
          <w:szCs w:val="32"/>
        </w:rPr>
        <w:t>6次</w:t>
      </w:r>
      <w:r>
        <w:rPr>
          <w:rFonts w:ascii="仿宋" w:hAnsi="仿宋" w:eastAsia="仿宋"/>
          <w:sz w:val="32"/>
          <w:szCs w:val="32"/>
        </w:rPr>
        <w:t>及以上全程</w:t>
      </w:r>
      <w:r>
        <w:rPr>
          <w:rFonts w:hint="eastAsia" w:ascii="仿宋" w:hAnsi="仿宋" w:eastAsia="仿宋"/>
          <w:sz w:val="32"/>
          <w:szCs w:val="32"/>
        </w:rPr>
        <w:t>随访率以及HIV抗体</w:t>
      </w:r>
      <w:r>
        <w:rPr>
          <w:rFonts w:ascii="仿宋" w:hAnsi="仿宋" w:eastAsia="仿宋"/>
          <w:sz w:val="32"/>
          <w:szCs w:val="32"/>
        </w:rPr>
        <w:t>检测率</w:t>
      </w:r>
      <w:r>
        <w:rPr>
          <w:rFonts w:hint="eastAsia" w:ascii="仿宋" w:hAnsi="仿宋" w:eastAsia="仿宋"/>
          <w:sz w:val="32"/>
          <w:szCs w:val="32"/>
        </w:rPr>
        <w:t>均为100</w:t>
      </w:r>
      <w:r>
        <w:rPr>
          <w:rFonts w:ascii="仿宋" w:hAnsi="仿宋" w:eastAsia="仿宋"/>
          <w:sz w:val="32"/>
          <w:szCs w:val="32"/>
        </w:rPr>
        <w:t>%。</w:t>
      </w:r>
    </w:p>
    <w:p>
      <w:pPr>
        <w:ind w:firstLine="640" w:firstLineChars="200"/>
        <w:jc w:val="left"/>
        <w:rPr>
          <w:rFonts w:ascii="仿宋" w:hAnsi="仿宋" w:eastAsia="仿宋"/>
          <w:sz w:val="32"/>
          <w:szCs w:val="32"/>
        </w:rPr>
      </w:pPr>
      <w:r>
        <w:rPr>
          <w:rFonts w:hint="eastAsia" w:ascii="仿宋" w:hAnsi="仿宋" w:eastAsia="仿宋"/>
          <w:sz w:val="32"/>
          <w:szCs w:val="32"/>
          <w:lang w:eastAsia="zh-CN"/>
        </w:rPr>
        <w:t>（</w:t>
      </w:r>
      <w:r>
        <w:rPr>
          <w:rFonts w:ascii="仿宋" w:hAnsi="仿宋" w:eastAsia="仿宋"/>
          <w:sz w:val="32"/>
          <w:szCs w:val="32"/>
        </w:rPr>
        <w:t>2</w:t>
      </w:r>
      <w:r>
        <w:rPr>
          <w:rFonts w:hint="eastAsia" w:ascii="仿宋" w:hAnsi="仿宋" w:eastAsia="仿宋"/>
          <w:sz w:val="32"/>
          <w:szCs w:val="32"/>
          <w:lang w:eastAsia="zh-CN"/>
        </w:rPr>
        <w:t>）</w:t>
      </w:r>
      <w:r>
        <w:rPr>
          <w:rFonts w:hint="eastAsia" w:ascii="仿宋" w:hAnsi="仿宋" w:eastAsia="仿宋"/>
          <w:sz w:val="32"/>
          <w:szCs w:val="32"/>
        </w:rPr>
        <w:t>梅毒</w:t>
      </w:r>
      <w:r>
        <w:rPr>
          <w:rFonts w:ascii="仿宋" w:hAnsi="仿宋" w:eastAsia="仿宋"/>
          <w:sz w:val="32"/>
          <w:szCs w:val="32"/>
        </w:rPr>
        <w:t>感染孕产妇及所生儿童干预服务</w:t>
      </w:r>
      <w:r>
        <w:rPr>
          <w:rFonts w:hint="eastAsia" w:ascii="仿宋" w:hAnsi="仿宋" w:eastAsia="仿宋"/>
          <w:sz w:val="32"/>
          <w:szCs w:val="32"/>
        </w:rPr>
        <w:t>指标</w:t>
      </w:r>
      <w:r>
        <w:rPr>
          <w:rFonts w:ascii="仿宋" w:hAnsi="仿宋" w:eastAsia="仿宋"/>
          <w:sz w:val="32"/>
          <w:szCs w:val="32"/>
        </w:rPr>
        <w:t>。梅毒感染产妇</w:t>
      </w:r>
      <w:r>
        <w:rPr>
          <w:rFonts w:hint="eastAsia" w:ascii="仿宋" w:hAnsi="仿宋" w:eastAsia="仿宋"/>
          <w:sz w:val="32"/>
          <w:szCs w:val="32"/>
        </w:rPr>
        <w:t>5</w:t>
      </w:r>
      <w:r>
        <w:rPr>
          <w:rFonts w:ascii="仿宋" w:hAnsi="仿宋" w:eastAsia="仿宋"/>
          <w:sz w:val="32"/>
          <w:szCs w:val="32"/>
        </w:rPr>
        <w:t>9例，</w:t>
      </w:r>
      <w:r>
        <w:rPr>
          <w:rFonts w:hint="eastAsia" w:ascii="仿宋" w:hAnsi="仿宋" w:eastAsia="仿宋"/>
          <w:sz w:val="32"/>
          <w:szCs w:val="32"/>
        </w:rPr>
        <w:t>分娩</w:t>
      </w:r>
      <w:r>
        <w:rPr>
          <w:rFonts w:ascii="仿宋" w:hAnsi="仿宋" w:eastAsia="仿宋"/>
          <w:sz w:val="32"/>
          <w:szCs w:val="32"/>
        </w:rPr>
        <w:t>活产儿</w:t>
      </w:r>
      <w:r>
        <w:rPr>
          <w:rFonts w:hint="eastAsia" w:ascii="仿宋" w:hAnsi="仿宋" w:eastAsia="仿宋"/>
          <w:sz w:val="32"/>
          <w:szCs w:val="32"/>
        </w:rPr>
        <w:t>5</w:t>
      </w:r>
      <w:r>
        <w:rPr>
          <w:rFonts w:ascii="仿宋" w:hAnsi="仿宋" w:eastAsia="仿宋"/>
          <w:sz w:val="32"/>
          <w:szCs w:val="32"/>
        </w:rPr>
        <w:t>9例，梅毒感染</w:t>
      </w:r>
      <w:r>
        <w:rPr>
          <w:rFonts w:hint="eastAsia" w:ascii="仿宋" w:hAnsi="仿宋" w:eastAsia="仿宋"/>
          <w:sz w:val="32"/>
          <w:szCs w:val="32"/>
        </w:rPr>
        <w:t>孕</w:t>
      </w:r>
      <w:r>
        <w:rPr>
          <w:rFonts w:ascii="仿宋" w:hAnsi="仿宋" w:eastAsia="仿宋"/>
          <w:sz w:val="32"/>
          <w:szCs w:val="32"/>
        </w:rPr>
        <w:t>产妇治疗率</w:t>
      </w:r>
      <w:r>
        <w:rPr>
          <w:rFonts w:hint="eastAsia" w:ascii="仿宋" w:hAnsi="仿宋" w:eastAsia="仿宋"/>
          <w:sz w:val="32"/>
          <w:szCs w:val="32"/>
        </w:rPr>
        <w:t>9</w:t>
      </w:r>
      <w:r>
        <w:rPr>
          <w:rFonts w:ascii="仿宋" w:hAnsi="仿宋" w:eastAsia="仿宋"/>
          <w:sz w:val="32"/>
          <w:szCs w:val="32"/>
        </w:rPr>
        <w:t>8.31%，所生儿童预防性治疗率</w:t>
      </w:r>
      <w:r>
        <w:rPr>
          <w:rFonts w:hint="eastAsia" w:ascii="仿宋" w:hAnsi="仿宋" w:eastAsia="仿宋"/>
          <w:sz w:val="32"/>
          <w:szCs w:val="32"/>
        </w:rPr>
        <w:t>1</w:t>
      </w:r>
      <w:r>
        <w:rPr>
          <w:rFonts w:ascii="仿宋" w:hAnsi="仿宋" w:eastAsia="仿宋"/>
          <w:sz w:val="32"/>
          <w:szCs w:val="32"/>
        </w:rPr>
        <w:t>00%</w:t>
      </w:r>
      <w:r>
        <w:rPr>
          <w:rFonts w:hint="eastAsia" w:ascii="仿宋" w:hAnsi="仿宋" w:eastAsia="仿宋"/>
          <w:sz w:val="32"/>
          <w:szCs w:val="32"/>
        </w:rPr>
        <w:t>。</w:t>
      </w:r>
    </w:p>
    <w:p>
      <w:pPr>
        <w:ind w:firstLine="640" w:firstLineChars="200"/>
        <w:jc w:val="left"/>
        <w:rPr>
          <w:rFonts w:ascii="仿宋" w:hAnsi="仿宋" w:eastAsia="仿宋"/>
          <w:sz w:val="32"/>
          <w:szCs w:val="32"/>
        </w:rPr>
      </w:pPr>
      <w:r>
        <w:rPr>
          <w:rFonts w:hint="eastAsia" w:ascii="仿宋" w:hAnsi="仿宋" w:eastAsia="仿宋"/>
          <w:sz w:val="32"/>
          <w:szCs w:val="32"/>
          <w:lang w:eastAsia="zh-CN"/>
        </w:rPr>
        <w:t>（</w:t>
      </w:r>
      <w:r>
        <w:rPr>
          <w:rFonts w:ascii="仿宋" w:hAnsi="仿宋" w:eastAsia="仿宋"/>
          <w:sz w:val="32"/>
          <w:szCs w:val="32"/>
        </w:rPr>
        <w:t>3</w:t>
      </w:r>
      <w:r>
        <w:rPr>
          <w:rFonts w:hint="eastAsia" w:ascii="仿宋" w:hAnsi="仿宋" w:eastAsia="仿宋"/>
          <w:sz w:val="32"/>
          <w:szCs w:val="32"/>
          <w:lang w:eastAsia="zh-CN"/>
        </w:rPr>
        <w:t>）</w:t>
      </w:r>
      <w:r>
        <w:rPr>
          <w:rFonts w:ascii="仿宋" w:hAnsi="仿宋" w:eastAsia="仿宋"/>
          <w:sz w:val="32"/>
          <w:szCs w:val="32"/>
        </w:rPr>
        <w:t>乙肝感染孕产妇所生</w:t>
      </w:r>
      <w:r>
        <w:rPr>
          <w:rFonts w:hint="eastAsia" w:ascii="仿宋" w:hAnsi="仿宋" w:eastAsia="仿宋"/>
          <w:sz w:val="32"/>
          <w:szCs w:val="32"/>
        </w:rPr>
        <w:t>儿童</w:t>
      </w:r>
      <w:r>
        <w:rPr>
          <w:rFonts w:ascii="仿宋" w:hAnsi="仿宋" w:eastAsia="仿宋"/>
          <w:sz w:val="32"/>
          <w:szCs w:val="32"/>
        </w:rPr>
        <w:t>干预服务</w:t>
      </w:r>
      <w:r>
        <w:rPr>
          <w:rFonts w:hint="eastAsia" w:ascii="仿宋" w:hAnsi="仿宋" w:eastAsia="仿宋"/>
          <w:sz w:val="32"/>
          <w:szCs w:val="32"/>
        </w:rPr>
        <w:t>指标</w:t>
      </w:r>
      <w:r>
        <w:rPr>
          <w:rFonts w:ascii="仿宋" w:hAnsi="仿宋" w:eastAsia="仿宋"/>
          <w:sz w:val="32"/>
          <w:szCs w:val="32"/>
        </w:rPr>
        <w:t>。乙肝</w:t>
      </w:r>
      <w:r>
        <w:rPr>
          <w:rFonts w:hint="eastAsia" w:ascii="仿宋" w:hAnsi="仿宋" w:eastAsia="仿宋"/>
          <w:sz w:val="32"/>
          <w:szCs w:val="32"/>
        </w:rPr>
        <w:t>表面抗原</w:t>
      </w:r>
      <w:r>
        <w:rPr>
          <w:rFonts w:ascii="仿宋" w:hAnsi="仿宋" w:eastAsia="仿宋"/>
          <w:sz w:val="32"/>
          <w:szCs w:val="32"/>
        </w:rPr>
        <w:t>阳性孕产妇所生新生儿</w:t>
      </w:r>
      <w:r>
        <w:rPr>
          <w:rFonts w:hint="eastAsia" w:ascii="仿宋" w:hAnsi="仿宋" w:eastAsia="仿宋"/>
          <w:sz w:val="32"/>
          <w:szCs w:val="32"/>
        </w:rPr>
        <w:t>5</w:t>
      </w:r>
      <w:r>
        <w:rPr>
          <w:rFonts w:ascii="仿宋" w:hAnsi="仿宋" w:eastAsia="仿宋"/>
          <w:sz w:val="32"/>
          <w:szCs w:val="32"/>
        </w:rPr>
        <w:t>79例，</w:t>
      </w:r>
      <w:r>
        <w:rPr>
          <w:rFonts w:hint="eastAsia" w:ascii="仿宋" w:hAnsi="仿宋" w:eastAsia="仿宋"/>
          <w:sz w:val="32"/>
          <w:szCs w:val="32"/>
        </w:rPr>
        <w:t>暴露</w:t>
      </w:r>
      <w:r>
        <w:rPr>
          <w:rFonts w:ascii="仿宋" w:hAnsi="仿宋" w:eastAsia="仿宋"/>
          <w:sz w:val="32"/>
          <w:szCs w:val="32"/>
        </w:rPr>
        <w:t>新生儿乙肝免疫球蛋白注射率</w:t>
      </w:r>
      <w:r>
        <w:rPr>
          <w:rFonts w:hint="eastAsia" w:ascii="仿宋" w:hAnsi="仿宋" w:eastAsia="仿宋"/>
          <w:sz w:val="32"/>
          <w:szCs w:val="32"/>
        </w:rPr>
        <w:t>1</w:t>
      </w:r>
      <w:r>
        <w:rPr>
          <w:rFonts w:ascii="仿宋" w:hAnsi="仿宋" w:eastAsia="仿宋"/>
          <w:sz w:val="32"/>
          <w:szCs w:val="32"/>
        </w:rPr>
        <w:t>00%，首剂乙肝疫苗接种率</w:t>
      </w:r>
      <w:r>
        <w:rPr>
          <w:rFonts w:hint="eastAsia" w:ascii="仿宋" w:hAnsi="仿宋" w:eastAsia="仿宋"/>
          <w:sz w:val="32"/>
          <w:szCs w:val="32"/>
        </w:rPr>
        <w:t>1</w:t>
      </w:r>
      <w:r>
        <w:rPr>
          <w:rFonts w:ascii="仿宋" w:hAnsi="仿宋" w:eastAsia="仿宋"/>
          <w:sz w:val="32"/>
          <w:szCs w:val="32"/>
        </w:rPr>
        <w:t>00%</w:t>
      </w:r>
      <w:r>
        <w:rPr>
          <w:rFonts w:hint="eastAsia" w:ascii="仿宋" w:hAnsi="仿宋" w:eastAsia="仿宋"/>
          <w:sz w:val="32"/>
          <w:szCs w:val="32"/>
        </w:rPr>
        <w:t>。</w:t>
      </w:r>
      <w:r>
        <w:rPr>
          <w:rFonts w:ascii="仿宋" w:hAnsi="仿宋" w:eastAsia="仿宋"/>
          <w:sz w:val="32"/>
          <w:szCs w:val="32"/>
        </w:rPr>
        <w:t>乙肝感染孕产妇所生儿童12月龄</w:t>
      </w:r>
      <w:r>
        <w:rPr>
          <w:rFonts w:hint="eastAsia" w:ascii="仿宋" w:hAnsi="仿宋" w:eastAsia="仿宋"/>
          <w:sz w:val="32"/>
          <w:szCs w:val="32"/>
        </w:rPr>
        <w:t>内</w:t>
      </w:r>
      <w:r>
        <w:rPr>
          <w:rFonts w:ascii="仿宋" w:hAnsi="仿宋" w:eastAsia="仿宋"/>
          <w:sz w:val="32"/>
          <w:szCs w:val="32"/>
        </w:rPr>
        <w:t>乙肝病毒表面抗原和表面抗体检测率92.11%。</w:t>
      </w:r>
    </w:p>
    <w:p>
      <w:pPr>
        <w:spacing w:line="400" w:lineRule="exact"/>
        <w:jc w:val="center"/>
        <w:rPr>
          <w:rFonts w:hint="eastAsia" w:ascii="仿宋" w:hAnsi="仿宋" w:eastAsia="仿宋"/>
          <w:sz w:val="28"/>
          <w:szCs w:val="28"/>
        </w:rPr>
      </w:pPr>
    </w:p>
    <w:p>
      <w:pPr>
        <w:spacing w:line="400" w:lineRule="exact"/>
        <w:jc w:val="center"/>
        <w:rPr>
          <w:rFonts w:hint="eastAsia" w:ascii="仿宋" w:hAnsi="仿宋" w:eastAsia="仿宋"/>
          <w:sz w:val="28"/>
          <w:szCs w:val="28"/>
        </w:rPr>
      </w:pPr>
    </w:p>
    <w:p>
      <w:pPr>
        <w:spacing w:line="400" w:lineRule="exact"/>
        <w:jc w:val="center"/>
        <w:rPr>
          <w:rFonts w:ascii="仿宋" w:hAnsi="仿宋" w:eastAsia="仿宋"/>
          <w:sz w:val="28"/>
          <w:szCs w:val="28"/>
        </w:rPr>
      </w:pPr>
      <w:r>
        <w:rPr>
          <w:rFonts w:hint="eastAsia" w:ascii="仿宋" w:hAnsi="仿宋" w:eastAsia="仿宋"/>
          <w:sz w:val="28"/>
          <w:szCs w:val="28"/>
        </w:rPr>
        <w:t>图2  201</w:t>
      </w:r>
      <w:r>
        <w:rPr>
          <w:rFonts w:ascii="仿宋" w:hAnsi="仿宋" w:eastAsia="仿宋"/>
          <w:sz w:val="28"/>
          <w:szCs w:val="28"/>
        </w:rPr>
        <w:t>8</w:t>
      </w:r>
      <w:r>
        <w:rPr>
          <w:rFonts w:hint="eastAsia" w:ascii="仿宋" w:hAnsi="仿宋" w:eastAsia="仿宋"/>
          <w:sz w:val="28"/>
          <w:szCs w:val="28"/>
        </w:rPr>
        <w:t>—202</w:t>
      </w:r>
      <w:r>
        <w:rPr>
          <w:rFonts w:ascii="仿宋" w:hAnsi="仿宋" w:eastAsia="仿宋"/>
          <w:sz w:val="28"/>
          <w:szCs w:val="28"/>
        </w:rPr>
        <w:t>2</w:t>
      </w:r>
      <w:r>
        <w:rPr>
          <w:rFonts w:hint="eastAsia" w:ascii="仿宋" w:hAnsi="仿宋" w:eastAsia="仿宋"/>
          <w:sz w:val="28"/>
          <w:szCs w:val="28"/>
        </w:rPr>
        <w:t>年全市HIV感染孕产妇</w:t>
      </w:r>
      <w:r>
        <w:rPr>
          <w:rFonts w:ascii="仿宋" w:hAnsi="仿宋" w:eastAsia="仿宋"/>
          <w:sz w:val="28"/>
          <w:szCs w:val="28"/>
        </w:rPr>
        <w:t>抗病毒用药率及</w:t>
      </w:r>
    </w:p>
    <w:p>
      <w:pPr>
        <w:spacing w:line="400" w:lineRule="exact"/>
        <w:jc w:val="center"/>
        <w:rPr>
          <w:rFonts w:ascii="仿宋" w:hAnsi="仿宋" w:eastAsia="仿宋"/>
          <w:sz w:val="28"/>
          <w:szCs w:val="28"/>
        </w:rPr>
      </w:pPr>
      <w:r>
        <w:rPr>
          <w:rFonts w:ascii="仿宋" w:hAnsi="仿宋" w:eastAsia="仿宋"/>
          <w:sz w:val="28"/>
          <w:szCs w:val="28"/>
        </w:rPr>
        <w:t>孕早期抗病毒用药率</w:t>
      </w:r>
      <w:r>
        <w:rPr>
          <w:rFonts w:hint="eastAsia" w:ascii="仿宋" w:hAnsi="仿宋" w:eastAsia="仿宋"/>
          <w:sz w:val="28"/>
          <w:szCs w:val="28"/>
        </w:rPr>
        <w:t>变化情况</w:t>
      </w:r>
    </w:p>
    <w:p>
      <w:pPr>
        <w:spacing w:before="156" w:beforeLines="50" w:after="156" w:afterLines="50"/>
        <w:jc w:val="center"/>
        <w:rPr>
          <w:rFonts w:ascii="仿宋" w:hAnsi="仿宋" w:eastAsia="仿宋"/>
          <w:sz w:val="28"/>
          <w:szCs w:val="28"/>
        </w:rPr>
      </w:pPr>
      <w:r>
        <w:rPr>
          <w:rFonts w:hint="eastAsia" w:ascii="仿宋" w:hAnsi="仿宋" w:eastAsia="仿宋"/>
          <w:sz w:val="28"/>
          <w:szCs w:val="28"/>
        </w:rPr>
        <w:drawing>
          <wp:inline distT="0" distB="0" distL="0" distR="0">
            <wp:extent cx="4676775" cy="2552700"/>
            <wp:effectExtent l="4445" t="4445" r="5080" b="14605"/>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pPr>
        <w:spacing w:line="400" w:lineRule="exact"/>
        <w:jc w:val="center"/>
        <w:rPr>
          <w:rFonts w:hint="eastAsia" w:ascii="仿宋" w:hAnsi="仿宋" w:eastAsia="仿宋"/>
          <w:sz w:val="28"/>
          <w:szCs w:val="28"/>
        </w:rPr>
      </w:pPr>
    </w:p>
    <w:p>
      <w:pPr>
        <w:spacing w:line="400" w:lineRule="exact"/>
        <w:jc w:val="center"/>
        <w:rPr>
          <w:rFonts w:hint="eastAsia" w:ascii="仿宋" w:hAnsi="仿宋" w:eastAsia="仿宋"/>
          <w:sz w:val="28"/>
          <w:szCs w:val="28"/>
        </w:rPr>
      </w:pPr>
    </w:p>
    <w:p>
      <w:pPr>
        <w:spacing w:line="400" w:lineRule="exact"/>
        <w:jc w:val="center"/>
        <w:rPr>
          <w:rFonts w:hint="eastAsia" w:ascii="仿宋" w:hAnsi="仿宋" w:eastAsia="仿宋"/>
          <w:sz w:val="28"/>
          <w:szCs w:val="28"/>
        </w:rPr>
      </w:pPr>
    </w:p>
    <w:p>
      <w:pPr>
        <w:spacing w:line="400" w:lineRule="exact"/>
        <w:jc w:val="center"/>
        <w:rPr>
          <w:rFonts w:hint="eastAsia" w:ascii="仿宋" w:hAnsi="仿宋" w:eastAsia="仿宋"/>
          <w:sz w:val="28"/>
          <w:szCs w:val="28"/>
        </w:rPr>
      </w:pPr>
    </w:p>
    <w:p>
      <w:pPr>
        <w:spacing w:line="400" w:lineRule="exact"/>
        <w:jc w:val="center"/>
        <w:rPr>
          <w:rFonts w:ascii="仿宋" w:hAnsi="仿宋" w:eastAsia="仿宋"/>
          <w:sz w:val="28"/>
          <w:szCs w:val="28"/>
        </w:rPr>
      </w:pPr>
      <w:r>
        <w:rPr>
          <w:rFonts w:hint="eastAsia" w:ascii="仿宋" w:hAnsi="仿宋" w:eastAsia="仿宋"/>
          <w:sz w:val="28"/>
          <w:szCs w:val="28"/>
        </w:rPr>
        <w:t>图</w:t>
      </w:r>
      <w:r>
        <w:rPr>
          <w:rFonts w:hint="eastAsia" w:ascii="仿宋" w:hAnsi="仿宋" w:eastAsia="仿宋"/>
          <w:sz w:val="28"/>
          <w:szCs w:val="28"/>
          <w:lang w:val="en-US" w:eastAsia="zh-CN"/>
        </w:rPr>
        <w:t>3</w:t>
      </w:r>
      <w:r>
        <w:rPr>
          <w:rFonts w:hint="eastAsia" w:ascii="仿宋" w:hAnsi="仿宋" w:eastAsia="仿宋"/>
          <w:sz w:val="28"/>
          <w:szCs w:val="28"/>
        </w:rPr>
        <w:t xml:space="preserve">  201</w:t>
      </w:r>
      <w:r>
        <w:rPr>
          <w:rFonts w:ascii="仿宋" w:hAnsi="仿宋" w:eastAsia="仿宋"/>
          <w:sz w:val="28"/>
          <w:szCs w:val="28"/>
        </w:rPr>
        <w:t>8</w:t>
      </w:r>
      <w:r>
        <w:rPr>
          <w:rFonts w:hint="eastAsia" w:ascii="仿宋" w:hAnsi="仿宋" w:eastAsia="仿宋"/>
          <w:sz w:val="28"/>
          <w:szCs w:val="28"/>
        </w:rPr>
        <w:t>—202</w:t>
      </w:r>
      <w:r>
        <w:rPr>
          <w:rFonts w:ascii="仿宋" w:hAnsi="仿宋" w:eastAsia="仿宋"/>
          <w:sz w:val="28"/>
          <w:szCs w:val="28"/>
        </w:rPr>
        <w:t>2</w:t>
      </w:r>
      <w:r>
        <w:rPr>
          <w:rFonts w:hint="eastAsia" w:ascii="仿宋" w:hAnsi="仿宋" w:eastAsia="仿宋"/>
          <w:sz w:val="28"/>
          <w:szCs w:val="28"/>
        </w:rPr>
        <w:t>年全市梅毒感染孕产妇梅毒治疗率及</w:t>
      </w:r>
    </w:p>
    <w:p>
      <w:pPr>
        <w:spacing w:after="156" w:afterLines="50" w:line="400" w:lineRule="exact"/>
        <w:jc w:val="center"/>
        <w:rPr>
          <w:rFonts w:ascii="仿宋" w:hAnsi="仿宋" w:eastAsia="仿宋"/>
          <w:sz w:val="28"/>
          <w:szCs w:val="28"/>
        </w:rPr>
      </w:pPr>
      <w:r>
        <w:rPr>
          <w:rFonts w:hint="eastAsia" w:ascii="仿宋" w:hAnsi="仿宋" w:eastAsia="仿宋"/>
          <w:sz w:val="28"/>
          <w:szCs w:val="28"/>
        </w:rPr>
        <w:t>所生儿童预防性治疗率变化情况</w:t>
      </w:r>
    </w:p>
    <w:p>
      <w:pPr>
        <w:spacing w:after="156" w:afterLines="50"/>
        <w:jc w:val="center"/>
        <w:rPr>
          <w:rFonts w:ascii="仿宋" w:hAnsi="仿宋" w:eastAsia="仿宋"/>
          <w:sz w:val="28"/>
          <w:szCs w:val="28"/>
        </w:rPr>
      </w:pPr>
      <w:r>
        <w:rPr>
          <w:rFonts w:hint="eastAsia" w:ascii="仿宋" w:hAnsi="仿宋" w:eastAsia="仿宋"/>
          <w:sz w:val="28"/>
          <w:szCs w:val="28"/>
        </w:rPr>
        <w:drawing>
          <wp:inline distT="0" distB="0" distL="0" distR="0">
            <wp:extent cx="4667250" cy="2381250"/>
            <wp:effectExtent l="4445" t="5080" r="14605" b="13970"/>
            <wp:docPr id="6"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pPr>
        <w:spacing w:line="400" w:lineRule="exact"/>
        <w:jc w:val="center"/>
        <w:rPr>
          <w:rFonts w:ascii="仿宋" w:hAnsi="仿宋" w:eastAsia="仿宋"/>
          <w:sz w:val="28"/>
          <w:szCs w:val="28"/>
        </w:rPr>
      </w:pPr>
    </w:p>
    <w:p>
      <w:pPr>
        <w:spacing w:line="400" w:lineRule="exact"/>
        <w:jc w:val="center"/>
        <w:rPr>
          <w:rFonts w:ascii="仿宋" w:hAnsi="仿宋" w:eastAsia="仿宋"/>
          <w:sz w:val="28"/>
          <w:szCs w:val="28"/>
        </w:rPr>
      </w:pPr>
      <w:r>
        <w:rPr>
          <w:rFonts w:hint="eastAsia" w:ascii="仿宋" w:hAnsi="仿宋" w:eastAsia="仿宋"/>
          <w:sz w:val="28"/>
          <w:szCs w:val="28"/>
        </w:rPr>
        <w:t>图</w:t>
      </w:r>
      <w:r>
        <w:rPr>
          <w:rFonts w:hint="eastAsia" w:ascii="仿宋" w:hAnsi="仿宋" w:eastAsia="仿宋"/>
          <w:sz w:val="28"/>
          <w:szCs w:val="28"/>
          <w:lang w:val="en-US" w:eastAsia="zh-CN"/>
        </w:rPr>
        <w:t>4</w:t>
      </w:r>
      <w:r>
        <w:rPr>
          <w:rFonts w:hint="eastAsia" w:ascii="仿宋" w:hAnsi="仿宋" w:eastAsia="仿宋"/>
          <w:sz w:val="28"/>
          <w:szCs w:val="28"/>
        </w:rPr>
        <w:t xml:space="preserve">  201</w:t>
      </w:r>
      <w:r>
        <w:rPr>
          <w:rFonts w:ascii="仿宋" w:hAnsi="仿宋" w:eastAsia="仿宋"/>
          <w:sz w:val="28"/>
          <w:szCs w:val="28"/>
        </w:rPr>
        <w:t>8</w:t>
      </w:r>
      <w:r>
        <w:rPr>
          <w:rFonts w:hint="eastAsia" w:ascii="仿宋" w:hAnsi="仿宋" w:eastAsia="仿宋"/>
          <w:sz w:val="28"/>
          <w:szCs w:val="28"/>
        </w:rPr>
        <w:t>—202</w:t>
      </w:r>
      <w:r>
        <w:rPr>
          <w:rFonts w:ascii="仿宋" w:hAnsi="仿宋" w:eastAsia="仿宋"/>
          <w:sz w:val="28"/>
          <w:szCs w:val="28"/>
        </w:rPr>
        <w:t>2</w:t>
      </w:r>
      <w:r>
        <w:rPr>
          <w:rFonts w:hint="eastAsia" w:ascii="仿宋" w:hAnsi="仿宋" w:eastAsia="仿宋"/>
          <w:sz w:val="28"/>
          <w:szCs w:val="28"/>
        </w:rPr>
        <w:t>年全市乙肝感染孕产妇所生儿童</w:t>
      </w:r>
    </w:p>
    <w:p>
      <w:pPr>
        <w:spacing w:after="156" w:afterLines="50" w:line="400" w:lineRule="exact"/>
        <w:jc w:val="center"/>
        <w:rPr>
          <w:rFonts w:ascii="仿宋" w:hAnsi="仿宋" w:eastAsia="仿宋"/>
          <w:sz w:val="28"/>
          <w:szCs w:val="28"/>
        </w:rPr>
      </w:pPr>
      <w:r>
        <w:rPr>
          <w:rFonts w:hint="eastAsia" w:ascii="仿宋" w:hAnsi="仿宋" w:eastAsia="仿宋"/>
          <w:sz w:val="28"/>
          <w:szCs w:val="28"/>
        </w:rPr>
        <w:t>乙肝免疫球蛋白注射率变化情况</w:t>
      </w:r>
    </w:p>
    <w:p>
      <w:pPr>
        <w:spacing w:after="156" w:afterLines="50"/>
        <w:jc w:val="center"/>
        <w:rPr>
          <w:rFonts w:ascii="仿宋" w:hAnsi="仿宋" w:eastAsia="仿宋"/>
          <w:sz w:val="28"/>
          <w:szCs w:val="28"/>
        </w:rPr>
      </w:pPr>
      <w:r>
        <w:rPr>
          <w:rFonts w:ascii="仿宋" w:hAnsi="仿宋" w:eastAsia="仿宋"/>
          <w:sz w:val="28"/>
          <w:szCs w:val="28"/>
        </w:rPr>
        <w:drawing>
          <wp:inline distT="0" distB="0" distL="0" distR="0">
            <wp:extent cx="4533900" cy="1847850"/>
            <wp:effectExtent l="4445" t="4445" r="14605" b="14605"/>
            <wp:docPr id="7"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pPr>
        <w:ind w:firstLine="640" w:firstLineChars="200"/>
        <w:jc w:val="left"/>
        <w:rPr>
          <w:rFonts w:ascii="仿宋" w:hAnsi="仿宋" w:eastAsia="仿宋"/>
          <w:sz w:val="32"/>
          <w:szCs w:val="32"/>
        </w:rPr>
      </w:pPr>
      <w:r>
        <w:rPr>
          <w:rFonts w:ascii="仿宋" w:hAnsi="仿宋" w:eastAsia="仿宋"/>
          <w:sz w:val="32"/>
          <w:szCs w:val="32"/>
        </w:rPr>
        <w:t>4.</w:t>
      </w:r>
      <w:r>
        <w:rPr>
          <w:rFonts w:hint="eastAsia" w:ascii="仿宋" w:hAnsi="仿宋" w:eastAsia="仿宋"/>
          <w:sz w:val="32"/>
          <w:szCs w:val="32"/>
        </w:rPr>
        <w:t>干预</w:t>
      </w:r>
      <w:r>
        <w:rPr>
          <w:rFonts w:ascii="仿宋" w:hAnsi="仿宋" w:eastAsia="仿宋"/>
          <w:sz w:val="32"/>
          <w:szCs w:val="32"/>
        </w:rPr>
        <w:t>效果指标。</w:t>
      </w:r>
      <w:r>
        <w:rPr>
          <w:rFonts w:hint="eastAsia" w:ascii="仿宋" w:hAnsi="仿宋" w:eastAsia="仿宋"/>
          <w:sz w:val="32"/>
          <w:szCs w:val="32"/>
        </w:rPr>
        <w:t>到</w:t>
      </w:r>
      <w:r>
        <w:rPr>
          <w:rFonts w:ascii="仿宋" w:hAnsi="仿宋" w:eastAsia="仿宋"/>
          <w:sz w:val="32"/>
          <w:szCs w:val="32"/>
        </w:rPr>
        <w:t>2022年</w:t>
      </w:r>
      <w:r>
        <w:rPr>
          <w:rFonts w:hint="eastAsia" w:ascii="仿宋" w:hAnsi="仿宋" w:eastAsia="仿宋"/>
          <w:sz w:val="32"/>
          <w:szCs w:val="32"/>
        </w:rPr>
        <w:t>底,我市已连续4年未发生</w:t>
      </w:r>
      <w:r>
        <w:rPr>
          <w:rFonts w:ascii="仿宋" w:hAnsi="仿宋" w:eastAsia="仿宋"/>
          <w:sz w:val="32"/>
          <w:szCs w:val="32"/>
        </w:rPr>
        <w:t>艾滋病母婴传播案例</w:t>
      </w:r>
      <w:r>
        <w:rPr>
          <w:rFonts w:hint="eastAsia" w:ascii="仿宋" w:hAnsi="仿宋" w:eastAsia="仿宋"/>
          <w:sz w:val="32"/>
          <w:szCs w:val="32"/>
        </w:rPr>
        <w:t>。2</w:t>
      </w:r>
      <w:r>
        <w:rPr>
          <w:rFonts w:ascii="仿宋" w:hAnsi="仿宋" w:eastAsia="仿宋"/>
          <w:sz w:val="32"/>
          <w:szCs w:val="32"/>
        </w:rPr>
        <w:t>022</w:t>
      </w:r>
      <w:r>
        <w:rPr>
          <w:rFonts w:hint="eastAsia" w:ascii="仿宋" w:hAnsi="仿宋" w:eastAsia="仿宋"/>
          <w:sz w:val="32"/>
          <w:szCs w:val="32"/>
        </w:rPr>
        <w:t>年</w:t>
      </w:r>
      <w:r>
        <w:rPr>
          <w:rFonts w:ascii="仿宋" w:hAnsi="仿宋" w:eastAsia="仿宋"/>
          <w:sz w:val="32"/>
          <w:szCs w:val="32"/>
        </w:rPr>
        <w:t>先天梅毒</w:t>
      </w:r>
      <w:r>
        <w:rPr>
          <w:rFonts w:hint="eastAsia" w:ascii="仿宋" w:hAnsi="仿宋" w:eastAsia="仿宋"/>
          <w:sz w:val="32"/>
          <w:szCs w:val="32"/>
        </w:rPr>
        <w:t>报告率</w:t>
      </w:r>
      <w:r>
        <w:rPr>
          <w:rFonts w:ascii="仿宋" w:hAnsi="仿宋" w:eastAsia="仿宋"/>
          <w:sz w:val="32"/>
          <w:szCs w:val="32"/>
        </w:rPr>
        <w:t>为</w:t>
      </w:r>
      <w:r>
        <w:rPr>
          <w:rFonts w:hint="eastAsia" w:ascii="仿宋" w:hAnsi="仿宋" w:eastAsia="仿宋"/>
          <w:sz w:val="32"/>
          <w:szCs w:val="32"/>
        </w:rPr>
        <w:t>4</w:t>
      </w:r>
      <w:r>
        <w:rPr>
          <w:rFonts w:ascii="仿宋" w:hAnsi="仿宋" w:eastAsia="仿宋"/>
          <w:sz w:val="32"/>
          <w:szCs w:val="32"/>
        </w:rPr>
        <w:t>.42</w:t>
      </w:r>
      <w:r>
        <w:rPr>
          <w:rFonts w:hint="eastAsia" w:ascii="仿宋" w:hAnsi="仿宋" w:eastAsia="仿宋"/>
          <w:sz w:val="32"/>
          <w:szCs w:val="32"/>
        </w:rPr>
        <w:t>/10万</w:t>
      </w:r>
      <w:r>
        <w:rPr>
          <w:rFonts w:ascii="仿宋" w:hAnsi="仿宋" w:eastAsia="仿宋"/>
          <w:sz w:val="32"/>
          <w:szCs w:val="32"/>
        </w:rPr>
        <w:t>，</w:t>
      </w:r>
      <w:r>
        <w:rPr>
          <w:rFonts w:hint="eastAsia" w:ascii="仿宋" w:hAnsi="仿宋" w:eastAsia="仿宋"/>
          <w:sz w:val="32"/>
          <w:szCs w:val="32"/>
        </w:rPr>
        <w:t>乙肝表面抗原阳性孕产妇所生儿童12月龄内乙肝表面抗原检测阳性率0</w:t>
      </w:r>
      <w:r>
        <w:rPr>
          <w:rFonts w:ascii="仿宋" w:hAnsi="仿宋" w:eastAsia="仿宋"/>
          <w:sz w:val="32"/>
          <w:szCs w:val="32"/>
        </w:rPr>
        <w:t>.54</w:t>
      </w:r>
      <w:r>
        <w:rPr>
          <w:rFonts w:hint="eastAsia" w:ascii="仿宋" w:hAnsi="仿宋" w:eastAsia="仿宋"/>
          <w:sz w:val="32"/>
          <w:szCs w:val="32"/>
        </w:rPr>
        <w:t>%，均</w:t>
      </w:r>
      <w:r>
        <w:rPr>
          <w:rFonts w:ascii="仿宋" w:hAnsi="仿宋" w:eastAsia="仿宋"/>
          <w:sz w:val="32"/>
          <w:szCs w:val="32"/>
        </w:rPr>
        <w:t>低于省级控制</w:t>
      </w:r>
      <w:r>
        <w:rPr>
          <w:rFonts w:hint="eastAsia" w:ascii="仿宋" w:hAnsi="仿宋" w:eastAsia="仿宋"/>
          <w:sz w:val="32"/>
          <w:szCs w:val="32"/>
        </w:rPr>
        <w:t>水平，母婴阻断成效较为显著</w:t>
      </w:r>
      <w:r>
        <w:rPr>
          <w:rFonts w:ascii="仿宋" w:hAnsi="仿宋" w:eastAsia="仿宋"/>
          <w:sz w:val="32"/>
          <w:szCs w:val="32"/>
        </w:rPr>
        <w:t>。</w:t>
      </w:r>
    </w:p>
    <w:p>
      <w:pPr>
        <w:ind w:firstLine="640" w:firstLineChars="200"/>
        <w:jc w:val="left"/>
        <w:rPr>
          <w:rFonts w:hint="eastAsia" w:ascii="黑体" w:hAnsi="黑体" w:eastAsia="黑体"/>
          <w:sz w:val="32"/>
          <w:szCs w:val="32"/>
          <w:lang w:eastAsia="zh-CN"/>
        </w:rPr>
      </w:pPr>
    </w:p>
    <w:p>
      <w:pPr>
        <w:ind w:firstLine="640" w:firstLineChars="200"/>
        <w:jc w:val="left"/>
        <w:rPr>
          <w:rFonts w:ascii="黑体" w:hAnsi="黑体" w:eastAsia="黑体"/>
          <w:sz w:val="32"/>
          <w:szCs w:val="32"/>
        </w:rPr>
      </w:pPr>
      <w:r>
        <w:rPr>
          <w:rFonts w:hint="eastAsia" w:ascii="黑体" w:hAnsi="黑体" w:eastAsia="黑体"/>
          <w:sz w:val="32"/>
          <w:szCs w:val="32"/>
          <w:lang w:eastAsia="zh-CN"/>
        </w:rPr>
        <w:t>（</w:t>
      </w:r>
      <w:r>
        <w:rPr>
          <w:rFonts w:hint="eastAsia" w:ascii="黑体" w:hAnsi="黑体" w:eastAsia="黑体"/>
          <w:sz w:val="32"/>
          <w:szCs w:val="32"/>
        </w:rPr>
        <w:t>二</w:t>
      </w:r>
      <w:r>
        <w:rPr>
          <w:rFonts w:hint="eastAsia" w:ascii="黑体" w:hAnsi="黑体" w:eastAsia="黑体"/>
          <w:sz w:val="32"/>
          <w:szCs w:val="32"/>
          <w:lang w:eastAsia="zh-CN"/>
        </w:rPr>
        <w:t>）</w:t>
      </w:r>
      <w:r>
        <w:rPr>
          <w:rFonts w:hint="eastAsia" w:ascii="黑体" w:hAnsi="黑体" w:eastAsia="黑体"/>
          <w:sz w:val="32"/>
          <w:szCs w:val="32"/>
        </w:rPr>
        <w:t>重点工作开展情况</w:t>
      </w:r>
    </w:p>
    <w:p>
      <w:pPr>
        <w:ind w:firstLine="640" w:firstLineChars="200"/>
        <w:jc w:val="left"/>
        <w:rPr>
          <w:rFonts w:ascii="仿宋" w:hAnsi="仿宋" w:eastAsia="仿宋"/>
          <w:sz w:val="32"/>
          <w:szCs w:val="32"/>
        </w:rPr>
      </w:pPr>
      <w:r>
        <w:rPr>
          <w:rFonts w:hint="eastAsia" w:ascii="楷体" w:hAnsi="楷体" w:eastAsia="楷体"/>
          <w:sz w:val="32"/>
          <w:szCs w:val="32"/>
          <w:lang w:val="en-US" w:eastAsia="zh-CN"/>
        </w:rPr>
        <w:t>1.</w:t>
      </w:r>
      <w:r>
        <w:rPr>
          <w:rFonts w:hint="eastAsia" w:ascii="楷体" w:hAnsi="楷体" w:eastAsia="楷体"/>
          <w:sz w:val="32"/>
          <w:szCs w:val="32"/>
        </w:rPr>
        <w:t>管理办体系建设方面。</w:t>
      </w:r>
      <w:r>
        <w:rPr>
          <w:rFonts w:hint="eastAsia" w:ascii="仿宋" w:hAnsi="仿宋" w:eastAsia="仿宋"/>
          <w:sz w:val="32"/>
          <w:szCs w:val="32"/>
        </w:rPr>
        <w:t>注重</w:t>
      </w:r>
      <w:r>
        <w:rPr>
          <w:rFonts w:ascii="仿宋" w:hAnsi="仿宋" w:eastAsia="仿宋"/>
          <w:sz w:val="32"/>
          <w:szCs w:val="32"/>
        </w:rPr>
        <w:t>管理</w:t>
      </w:r>
      <w:r>
        <w:rPr>
          <w:rFonts w:hint="eastAsia" w:ascii="仿宋" w:hAnsi="仿宋" w:eastAsia="仿宋"/>
          <w:sz w:val="32"/>
          <w:szCs w:val="32"/>
        </w:rPr>
        <w:t>指导</w:t>
      </w:r>
      <w:r>
        <w:rPr>
          <w:rFonts w:ascii="仿宋" w:hAnsi="仿宋" w:eastAsia="仿宋"/>
          <w:sz w:val="32"/>
          <w:szCs w:val="32"/>
        </w:rPr>
        <w:t>能力提升</w:t>
      </w:r>
      <w:r>
        <w:rPr>
          <w:rFonts w:hint="eastAsia" w:ascii="仿宋" w:hAnsi="仿宋" w:eastAsia="仿宋"/>
          <w:sz w:val="32"/>
          <w:szCs w:val="32"/>
        </w:rPr>
        <w:t>和职能</w:t>
      </w:r>
      <w:r>
        <w:rPr>
          <w:rFonts w:ascii="仿宋" w:hAnsi="仿宋" w:eastAsia="仿宋"/>
          <w:sz w:val="32"/>
          <w:szCs w:val="32"/>
        </w:rPr>
        <w:t>发挥</w:t>
      </w:r>
      <w:r>
        <w:rPr>
          <w:rFonts w:hint="eastAsia" w:ascii="仿宋" w:hAnsi="仿宋" w:eastAsia="仿宋"/>
          <w:sz w:val="32"/>
          <w:szCs w:val="32"/>
        </w:rPr>
        <w:t>。年内</w:t>
      </w:r>
      <w:r>
        <w:rPr>
          <w:rFonts w:ascii="仿宋" w:hAnsi="仿宋" w:eastAsia="仿宋"/>
          <w:sz w:val="32"/>
          <w:szCs w:val="32"/>
        </w:rPr>
        <w:t>我办</w:t>
      </w:r>
      <w:r>
        <w:rPr>
          <w:rFonts w:hint="eastAsia" w:ascii="仿宋" w:hAnsi="仿宋" w:eastAsia="仿宋"/>
          <w:sz w:val="32"/>
          <w:szCs w:val="32"/>
        </w:rPr>
        <w:t>通过</w:t>
      </w:r>
      <w:r>
        <w:rPr>
          <w:rFonts w:ascii="仿宋" w:hAnsi="仿宋" w:eastAsia="仿宋"/>
          <w:sz w:val="32"/>
          <w:szCs w:val="32"/>
        </w:rPr>
        <w:t>公开招聘</w:t>
      </w:r>
      <w:r>
        <w:rPr>
          <w:rFonts w:hint="eastAsia" w:ascii="仿宋" w:hAnsi="仿宋" w:eastAsia="仿宋"/>
          <w:sz w:val="32"/>
          <w:szCs w:val="32"/>
        </w:rPr>
        <w:t>的</w:t>
      </w:r>
      <w:r>
        <w:rPr>
          <w:rFonts w:ascii="仿宋" w:hAnsi="仿宋" w:eastAsia="仿宋"/>
          <w:sz w:val="32"/>
          <w:szCs w:val="32"/>
        </w:rPr>
        <w:t>方式</w:t>
      </w:r>
      <w:r>
        <w:rPr>
          <w:rFonts w:hint="eastAsia" w:ascii="仿宋" w:hAnsi="仿宋" w:eastAsia="仿宋"/>
          <w:sz w:val="32"/>
          <w:szCs w:val="32"/>
        </w:rPr>
        <w:t>引进</w:t>
      </w:r>
      <w:r>
        <w:rPr>
          <w:rFonts w:ascii="仿宋" w:hAnsi="仿宋" w:eastAsia="仿宋"/>
          <w:sz w:val="32"/>
          <w:szCs w:val="32"/>
        </w:rPr>
        <w:t>了</w:t>
      </w:r>
      <w:r>
        <w:rPr>
          <w:rFonts w:hint="eastAsia" w:ascii="仿宋" w:hAnsi="仿宋" w:eastAsia="仿宋"/>
          <w:sz w:val="32"/>
          <w:szCs w:val="32"/>
        </w:rPr>
        <w:t>3名艾防</w:t>
      </w:r>
      <w:r>
        <w:rPr>
          <w:rFonts w:ascii="仿宋" w:hAnsi="仿宋" w:eastAsia="仿宋"/>
          <w:sz w:val="32"/>
          <w:szCs w:val="32"/>
        </w:rPr>
        <w:t>工作人员，</w:t>
      </w:r>
      <w:r>
        <w:rPr>
          <w:rFonts w:hint="eastAsia" w:ascii="仿宋" w:hAnsi="仿宋" w:eastAsia="仿宋"/>
          <w:sz w:val="32"/>
          <w:szCs w:val="32"/>
        </w:rPr>
        <w:t>建立了常态化培训学习机制，先后</w:t>
      </w:r>
      <w:r>
        <w:rPr>
          <w:rFonts w:ascii="仿宋" w:hAnsi="仿宋" w:eastAsia="仿宋"/>
          <w:sz w:val="32"/>
          <w:szCs w:val="32"/>
        </w:rPr>
        <w:t>5</w:t>
      </w:r>
      <w:r>
        <w:rPr>
          <w:rFonts w:hint="eastAsia" w:ascii="仿宋" w:hAnsi="仿宋" w:eastAsia="仿宋"/>
          <w:sz w:val="32"/>
          <w:szCs w:val="32"/>
        </w:rPr>
        <w:t>次组织管理办人员集中学习艾滋病防治政策法规、预防母婴传播业务知识和上级有关文件精神等，相关</w:t>
      </w:r>
      <w:r>
        <w:rPr>
          <w:rFonts w:ascii="仿宋" w:hAnsi="仿宋" w:eastAsia="仿宋"/>
          <w:sz w:val="32"/>
          <w:szCs w:val="32"/>
        </w:rPr>
        <w:t>人员</w:t>
      </w:r>
      <w:r>
        <w:rPr>
          <w:rFonts w:hint="eastAsia" w:ascii="仿宋" w:hAnsi="仿宋" w:eastAsia="仿宋"/>
          <w:sz w:val="32"/>
          <w:szCs w:val="32"/>
        </w:rPr>
        <w:t>业务能力不断提高。根据工作</w:t>
      </w:r>
      <w:r>
        <w:rPr>
          <w:rFonts w:ascii="仿宋" w:hAnsi="仿宋" w:eastAsia="仿宋"/>
          <w:sz w:val="32"/>
          <w:szCs w:val="32"/>
        </w:rPr>
        <w:t>实际进一步</w:t>
      </w:r>
      <w:r>
        <w:rPr>
          <w:rFonts w:hint="eastAsia" w:ascii="仿宋" w:hAnsi="仿宋" w:eastAsia="仿宋"/>
          <w:sz w:val="32"/>
          <w:szCs w:val="32"/>
        </w:rPr>
        <w:t>健全完善了预防母婴传播信息管理、物资管理、个案管理等相关工作规范和制度，细化了人员职责分工，层层</w:t>
      </w:r>
      <w:r>
        <w:rPr>
          <w:rFonts w:ascii="仿宋" w:hAnsi="仿宋" w:eastAsia="仿宋"/>
          <w:sz w:val="32"/>
          <w:szCs w:val="32"/>
        </w:rPr>
        <w:t>压实责任</w:t>
      </w:r>
      <w:r>
        <w:rPr>
          <w:rFonts w:hint="eastAsia" w:ascii="仿宋" w:hAnsi="仿宋" w:eastAsia="仿宋"/>
          <w:sz w:val="32"/>
          <w:szCs w:val="32"/>
        </w:rPr>
        <w:t>。年内先后下发了年度预防母婴传播工作计划和工作要点，针对县（区）工作措施落实和指标进展情况实行季度通报，确保各项</w:t>
      </w:r>
      <w:r>
        <w:rPr>
          <w:rFonts w:ascii="仿宋" w:hAnsi="仿宋" w:eastAsia="仿宋"/>
          <w:sz w:val="32"/>
          <w:szCs w:val="32"/>
        </w:rPr>
        <w:t>工作</w:t>
      </w:r>
      <w:r>
        <w:rPr>
          <w:rFonts w:hint="eastAsia" w:ascii="仿宋" w:hAnsi="仿宋" w:eastAsia="仿宋"/>
          <w:sz w:val="32"/>
          <w:szCs w:val="32"/>
        </w:rPr>
        <w:t>规范、</w:t>
      </w:r>
      <w:r>
        <w:rPr>
          <w:rFonts w:ascii="仿宋" w:hAnsi="仿宋" w:eastAsia="仿宋"/>
          <w:sz w:val="32"/>
          <w:szCs w:val="32"/>
        </w:rPr>
        <w:t>有序推进和实施</w:t>
      </w:r>
      <w:r>
        <w:rPr>
          <w:rFonts w:hint="eastAsia" w:ascii="仿宋" w:hAnsi="仿宋" w:eastAsia="仿宋"/>
          <w:sz w:val="32"/>
          <w:szCs w:val="32"/>
        </w:rPr>
        <w:t>。</w:t>
      </w:r>
    </w:p>
    <w:p>
      <w:pPr>
        <w:ind w:firstLine="640" w:firstLineChars="200"/>
        <w:jc w:val="left"/>
        <w:rPr>
          <w:rFonts w:ascii="仿宋" w:hAnsi="仿宋" w:eastAsia="仿宋"/>
          <w:sz w:val="32"/>
          <w:szCs w:val="32"/>
        </w:rPr>
      </w:pPr>
      <w:r>
        <w:rPr>
          <w:rFonts w:hint="eastAsia" w:ascii="楷体" w:hAnsi="楷体" w:eastAsia="楷体"/>
          <w:sz w:val="32"/>
          <w:szCs w:val="32"/>
          <w:lang w:val="en-US" w:eastAsia="zh-CN"/>
        </w:rPr>
        <w:t>2.</w:t>
      </w:r>
      <w:r>
        <w:rPr>
          <w:rFonts w:hint="eastAsia" w:ascii="楷体" w:hAnsi="楷体" w:eastAsia="楷体"/>
          <w:sz w:val="32"/>
          <w:szCs w:val="32"/>
        </w:rPr>
        <w:t>“三线”协作方面。</w:t>
      </w:r>
      <w:r>
        <w:rPr>
          <w:rFonts w:hint="eastAsia" w:ascii="仿宋" w:hAnsi="仿宋" w:eastAsia="仿宋"/>
          <w:sz w:val="32"/>
          <w:szCs w:val="32"/>
        </w:rPr>
        <w:t>市县两级艾滋病防治“三线”切实落实工作例会制度、联合调研指导制度、信息交换制度和专家会商等，坚持每月召开工作例会，每半年开展一次联合调研指导，每月交换工作进展</w:t>
      </w:r>
      <w:r>
        <w:rPr>
          <w:rFonts w:ascii="仿宋" w:hAnsi="仿宋" w:eastAsia="仿宋"/>
          <w:sz w:val="32"/>
          <w:szCs w:val="32"/>
        </w:rPr>
        <w:t>情况和艾滋病</w:t>
      </w:r>
      <w:r>
        <w:rPr>
          <w:rFonts w:hint="eastAsia" w:ascii="仿宋" w:hAnsi="仿宋" w:eastAsia="仿宋"/>
          <w:sz w:val="32"/>
          <w:szCs w:val="32"/>
        </w:rPr>
        <w:t>疫情信息。建立了重点人群管理台账并及时更新，对拒绝治疗、治疗效果不好和失访的感染育龄妇女每月通报，认真分析查找原因，制定针对性干预措施。推动男性</w:t>
      </w:r>
      <w:r>
        <w:rPr>
          <w:rFonts w:ascii="仿宋" w:hAnsi="仿宋" w:eastAsia="仿宋"/>
          <w:sz w:val="32"/>
          <w:szCs w:val="32"/>
        </w:rPr>
        <w:t>单阳家庭育龄妇女</w:t>
      </w:r>
      <w:r>
        <w:rPr>
          <w:rFonts w:hint="eastAsia" w:ascii="仿宋" w:hAnsi="仿宋" w:eastAsia="仿宋"/>
          <w:sz w:val="32"/>
          <w:szCs w:val="32"/>
        </w:rPr>
        <w:t>管理不到位的</w:t>
      </w:r>
      <w:r>
        <w:rPr>
          <w:rFonts w:ascii="仿宋" w:hAnsi="仿宋" w:eastAsia="仿宋"/>
          <w:sz w:val="32"/>
          <w:szCs w:val="32"/>
        </w:rPr>
        <w:t>县（区）</w:t>
      </w:r>
      <w:r>
        <w:rPr>
          <w:rFonts w:hint="eastAsia" w:ascii="仿宋" w:hAnsi="仿宋" w:eastAsia="仿宋"/>
          <w:sz w:val="32"/>
          <w:szCs w:val="32"/>
        </w:rPr>
        <w:t>逐一梳理</w:t>
      </w:r>
      <w:r>
        <w:rPr>
          <w:rFonts w:ascii="仿宋" w:hAnsi="仿宋" w:eastAsia="仿宋"/>
          <w:sz w:val="32"/>
          <w:szCs w:val="32"/>
        </w:rPr>
        <w:t>工作</w:t>
      </w:r>
      <w:r>
        <w:rPr>
          <w:rFonts w:hint="eastAsia" w:ascii="仿宋" w:hAnsi="仿宋" w:eastAsia="仿宋"/>
          <w:sz w:val="32"/>
          <w:szCs w:val="32"/>
        </w:rPr>
        <w:t>推进困难</w:t>
      </w:r>
      <w:r>
        <w:rPr>
          <w:rFonts w:ascii="仿宋" w:hAnsi="仿宋" w:eastAsia="仿宋"/>
          <w:sz w:val="32"/>
          <w:szCs w:val="32"/>
        </w:rPr>
        <w:t>的原因，</w:t>
      </w:r>
      <w:r>
        <w:rPr>
          <w:rFonts w:hint="eastAsia" w:ascii="仿宋" w:hAnsi="仿宋" w:eastAsia="仿宋"/>
          <w:sz w:val="32"/>
          <w:szCs w:val="32"/>
        </w:rPr>
        <w:t>进一步明确了工作</w:t>
      </w:r>
      <w:r>
        <w:rPr>
          <w:rFonts w:ascii="仿宋" w:hAnsi="仿宋" w:eastAsia="仿宋"/>
          <w:sz w:val="32"/>
          <w:szCs w:val="32"/>
        </w:rPr>
        <w:t>职责</w:t>
      </w:r>
      <w:r>
        <w:rPr>
          <w:rFonts w:hint="eastAsia" w:ascii="仿宋" w:hAnsi="仿宋" w:eastAsia="仿宋"/>
          <w:sz w:val="32"/>
          <w:szCs w:val="32"/>
        </w:rPr>
        <w:t>任务，完善</w:t>
      </w:r>
      <w:r>
        <w:rPr>
          <w:rFonts w:ascii="仿宋" w:hAnsi="仿宋" w:eastAsia="仿宋"/>
          <w:sz w:val="32"/>
          <w:szCs w:val="32"/>
        </w:rPr>
        <w:t>了</w:t>
      </w:r>
      <w:r>
        <w:rPr>
          <w:rFonts w:hint="eastAsia" w:ascii="仿宋" w:hAnsi="仿宋" w:eastAsia="仿宋"/>
          <w:sz w:val="32"/>
          <w:szCs w:val="32"/>
        </w:rPr>
        <w:t>管理</w:t>
      </w:r>
      <w:r>
        <w:rPr>
          <w:rFonts w:ascii="仿宋" w:hAnsi="仿宋" w:eastAsia="仿宋"/>
          <w:sz w:val="32"/>
          <w:szCs w:val="32"/>
        </w:rPr>
        <w:t>制度</w:t>
      </w:r>
      <w:r>
        <w:rPr>
          <w:rFonts w:hint="eastAsia" w:ascii="仿宋" w:hAnsi="仿宋" w:eastAsia="仿宋"/>
          <w:sz w:val="32"/>
          <w:szCs w:val="32"/>
        </w:rPr>
        <w:t>规范</w:t>
      </w:r>
      <w:r>
        <w:rPr>
          <w:rFonts w:ascii="仿宋" w:hAnsi="仿宋" w:eastAsia="仿宋"/>
          <w:sz w:val="32"/>
          <w:szCs w:val="32"/>
        </w:rPr>
        <w:t>等，</w:t>
      </w:r>
      <w:r>
        <w:rPr>
          <w:rFonts w:hint="eastAsia" w:ascii="仿宋" w:hAnsi="仿宋" w:eastAsia="仿宋"/>
          <w:sz w:val="32"/>
          <w:szCs w:val="32"/>
        </w:rPr>
        <w:t>促进</w:t>
      </w:r>
      <w:r>
        <w:rPr>
          <w:rFonts w:ascii="仿宋" w:hAnsi="仿宋" w:eastAsia="仿宋"/>
          <w:sz w:val="32"/>
          <w:szCs w:val="32"/>
        </w:rPr>
        <w:t>男性单阳家庭育龄妇女孕情早发现</w:t>
      </w:r>
      <w:r>
        <w:rPr>
          <w:rFonts w:hint="eastAsia" w:ascii="仿宋" w:hAnsi="仿宋" w:eastAsia="仿宋"/>
          <w:sz w:val="32"/>
          <w:szCs w:val="32"/>
        </w:rPr>
        <w:t>措施落地落实</w:t>
      </w:r>
      <w:r>
        <w:rPr>
          <w:rFonts w:ascii="仿宋" w:hAnsi="仿宋" w:eastAsia="仿宋"/>
          <w:sz w:val="32"/>
          <w:szCs w:val="32"/>
        </w:rPr>
        <w:t>。</w:t>
      </w:r>
      <w:r>
        <w:rPr>
          <w:rFonts w:hint="eastAsia" w:ascii="仿宋" w:hAnsi="仿宋" w:eastAsia="仿宋"/>
          <w:sz w:val="32"/>
          <w:szCs w:val="32"/>
        </w:rPr>
        <w:t>年内</w:t>
      </w:r>
      <w:r>
        <w:rPr>
          <w:rFonts w:ascii="仿宋" w:hAnsi="仿宋" w:eastAsia="仿宋"/>
          <w:sz w:val="32"/>
          <w:szCs w:val="32"/>
        </w:rPr>
        <w:t>，</w:t>
      </w:r>
      <w:r>
        <w:rPr>
          <w:rFonts w:hint="eastAsia" w:ascii="仿宋" w:hAnsi="仿宋" w:eastAsia="仿宋"/>
          <w:sz w:val="32"/>
          <w:szCs w:val="32"/>
        </w:rPr>
        <w:t>全市累计</w:t>
      </w:r>
      <w:r>
        <w:rPr>
          <w:rFonts w:ascii="仿宋" w:hAnsi="仿宋" w:eastAsia="仿宋"/>
          <w:sz w:val="32"/>
          <w:szCs w:val="32"/>
        </w:rPr>
        <w:t>召开艾滋病防治工作联席会</w:t>
      </w:r>
      <w:r>
        <w:rPr>
          <w:rFonts w:hint="eastAsia" w:ascii="仿宋" w:hAnsi="仿宋" w:eastAsia="仿宋"/>
          <w:sz w:val="32"/>
          <w:szCs w:val="32"/>
        </w:rPr>
        <w:t>或</w:t>
      </w:r>
      <w:r>
        <w:rPr>
          <w:rFonts w:ascii="仿宋" w:hAnsi="仿宋" w:eastAsia="仿宋"/>
          <w:sz w:val="32"/>
          <w:szCs w:val="32"/>
        </w:rPr>
        <w:t>协调会19次</w:t>
      </w:r>
      <w:r>
        <w:rPr>
          <w:rFonts w:hint="eastAsia" w:ascii="仿宋" w:hAnsi="仿宋" w:eastAsia="仿宋"/>
          <w:sz w:val="32"/>
          <w:szCs w:val="32"/>
        </w:rPr>
        <w:t>，</w:t>
      </w:r>
      <w:r>
        <w:rPr>
          <w:rFonts w:ascii="仿宋" w:hAnsi="仿宋" w:eastAsia="仿宋"/>
          <w:sz w:val="32"/>
          <w:szCs w:val="32"/>
        </w:rPr>
        <w:t>解决问题15个</w:t>
      </w:r>
      <w:r>
        <w:rPr>
          <w:rFonts w:hint="eastAsia" w:ascii="仿宋" w:hAnsi="仿宋" w:eastAsia="仿宋"/>
          <w:sz w:val="32"/>
          <w:szCs w:val="32"/>
        </w:rPr>
        <w:t>。</w:t>
      </w:r>
    </w:p>
    <w:p>
      <w:pPr>
        <w:ind w:firstLine="640" w:firstLineChars="200"/>
        <w:jc w:val="left"/>
        <w:rPr>
          <w:rFonts w:ascii="仿宋" w:hAnsi="仿宋" w:eastAsia="仿宋"/>
          <w:sz w:val="32"/>
          <w:szCs w:val="32"/>
        </w:rPr>
      </w:pPr>
      <w:r>
        <w:rPr>
          <w:rFonts w:hint="eastAsia" w:ascii="楷体" w:hAnsi="楷体" w:eastAsia="楷体"/>
          <w:sz w:val="32"/>
          <w:szCs w:val="32"/>
          <w:lang w:val="en-US" w:eastAsia="zh-CN"/>
        </w:rPr>
        <w:t>3.</w:t>
      </w:r>
      <w:r>
        <w:rPr>
          <w:rFonts w:hint="eastAsia" w:ascii="楷体" w:hAnsi="楷体" w:eastAsia="楷体"/>
          <w:sz w:val="32"/>
          <w:szCs w:val="32"/>
        </w:rPr>
        <w:t>孕情第一时间发现方面。</w:t>
      </w:r>
      <w:r>
        <w:rPr>
          <w:rFonts w:hint="eastAsia" w:ascii="仿宋" w:hAnsi="仿宋" w:eastAsia="仿宋"/>
          <w:sz w:val="32"/>
          <w:szCs w:val="32"/>
        </w:rPr>
        <w:t>各乡镇卫生院（社区卫生服务中心）建立了育龄妇女管理台账，结合基本公共卫生孕产妇健康管理、妇幼公共卫生服务和日常诊疗等服务时机定期或</w:t>
      </w:r>
      <w:r>
        <w:rPr>
          <w:rFonts w:ascii="仿宋" w:hAnsi="仿宋" w:eastAsia="仿宋"/>
          <w:sz w:val="32"/>
          <w:szCs w:val="32"/>
        </w:rPr>
        <w:t>不定期</w:t>
      </w:r>
      <w:r>
        <w:rPr>
          <w:rFonts w:hint="eastAsia" w:ascii="仿宋" w:hAnsi="仿宋" w:eastAsia="仿宋"/>
          <w:sz w:val="32"/>
          <w:szCs w:val="32"/>
        </w:rPr>
        <w:t>收集掌握孕情。继续将推动各级医疗机构建立非产科孕情发现制度作为年度重点工作之一，并结合调研指导对医疗机构孕情第一时间发现落实情况进行了抽查，对“逢妇必问”“逢孕必检”落实不到位的医疗机构进行了通报，提出了限期整改的要求。</w:t>
      </w:r>
    </w:p>
    <w:p>
      <w:pPr>
        <w:ind w:firstLine="640" w:firstLineChars="200"/>
        <w:jc w:val="left"/>
        <w:rPr>
          <w:rFonts w:ascii="仿宋" w:hAnsi="仿宋" w:eastAsia="仿宋"/>
          <w:sz w:val="32"/>
          <w:szCs w:val="32"/>
        </w:rPr>
      </w:pPr>
      <w:r>
        <w:rPr>
          <w:rFonts w:hint="eastAsia" w:ascii="楷体" w:hAnsi="楷体" w:eastAsia="楷体"/>
          <w:sz w:val="32"/>
          <w:szCs w:val="32"/>
          <w:lang w:val="en-US" w:eastAsia="zh-CN"/>
        </w:rPr>
        <w:t>4.</w:t>
      </w:r>
      <w:r>
        <w:rPr>
          <w:rFonts w:hint="eastAsia" w:ascii="楷体" w:hAnsi="楷体" w:eastAsia="楷体"/>
          <w:sz w:val="32"/>
          <w:szCs w:val="32"/>
        </w:rPr>
        <w:t>业务培训方面。</w:t>
      </w:r>
      <w:r>
        <w:rPr>
          <w:rFonts w:hint="eastAsia" w:ascii="仿宋" w:hAnsi="仿宋" w:eastAsia="仿宋"/>
          <w:b/>
          <w:sz w:val="32"/>
          <w:szCs w:val="32"/>
        </w:rPr>
        <w:t>一是</w:t>
      </w:r>
      <w:r>
        <w:rPr>
          <w:rFonts w:hint="eastAsia" w:ascii="仿宋" w:hAnsi="仿宋" w:eastAsia="仿宋"/>
          <w:sz w:val="32"/>
          <w:szCs w:val="32"/>
        </w:rPr>
        <w:t>2022年6月</w:t>
      </w:r>
      <w:r>
        <w:rPr>
          <w:rFonts w:ascii="仿宋" w:hAnsi="仿宋" w:eastAsia="仿宋"/>
          <w:sz w:val="32"/>
          <w:szCs w:val="32"/>
        </w:rPr>
        <w:t>，</w:t>
      </w:r>
      <w:r>
        <w:rPr>
          <w:rFonts w:hint="eastAsia" w:ascii="仿宋" w:hAnsi="仿宋" w:eastAsia="仿宋"/>
          <w:sz w:val="32"/>
          <w:szCs w:val="32"/>
        </w:rPr>
        <w:t>我院</w:t>
      </w:r>
      <w:r>
        <w:rPr>
          <w:rFonts w:ascii="仿宋" w:hAnsi="仿宋" w:eastAsia="仿宋"/>
          <w:sz w:val="32"/>
          <w:szCs w:val="32"/>
        </w:rPr>
        <w:t>召开</w:t>
      </w:r>
      <w:r>
        <w:rPr>
          <w:rFonts w:hint="eastAsia" w:ascii="仿宋" w:hAnsi="仿宋" w:eastAsia="仿宋"/>
          <w:sz w:val="32"/>
          <w:szCs w:val="32"/>
        </w:rPr>
        <w:t>2022年度妇幼健康事业区域发展经验交流会。会上介绍了</w:t>
      </w:r>
      <w:r>
        <w:rPr>
          <w:rFonts w:ascii="仿宋" w:hAnsi="仿宋" w:eastAsia="仿宋"/>
          <w:sz w:val="32"/>
          <w:szCs w:val="32"/>
        </w:rPr>
        <w:t>我市预防母婴传播工作现状</w:t>
      </w:r>
      <w:r>
        <w:rPr>
          <w:rFonts w:hint="eastAsia" w:ascii="仿宋" w:hAnsi="仿宋" w:eastAsia="仿宋"/>
          <w:sz w:val="32"/>
          <w:szCs w:val="32"/>
        </w:rPr>
        <w:t>，分析</w:t>
      </w:r>
      <w:r>
        <w:rPr>
          <w:rFonts w:ascii="仿宋" w:hAnsi="仿宋" w:eastAsia="仿宋"/>
          <w:sz w:val="32"/>
          <w:szCs w:val="32"/>
        </w:rPr>
        <w:t>了</w:t>
      </w:r>
      <w:r>
        <w:rPr>
          <w:rFonts w:hint="eastAsia" w:ascii="仿宋" w:hAnsi="仿宋" w:eastAsia="仿宋"/>
          <w:sz w:val="32"/>
          <w:szCs w:val="32"/>
        </w:rPr>
        <w:t>当前面临</w:t>
      </w:r>
      <w:r>
        <w:rPr>
          <w:rFonts w:ascii="仿宋" w:hAnsi="仿宋" w:eastAsia="仿宋"/>
          <w:sz w:val="32"/>
          <w:szCs w:val="32"/>
        </w:rPr>
        <w:t>的挑战和困难，</w:t>
      </w:r>
      <w:r>
        <w:rPr>
          <w:rFonts w:hint="eastAsia" w:ascii="仿宋" w:hAnsi="仿宋" w:eastAsia="仿宋"/>
          <w:sz w:val="32"/>
          <w:szCs w:val="32"/>
        </w:rPr>
        <w:t>指出了</w:t>
      </w:r>
      <w:r>
        <w:rPr>
          <w:rFonts w:ascii="仿宋" w:hAnsi="仿宋" w:eastAsia="仿宋"/>
          <w:sz w:val="32"/>
          <w:szCs w:val="32"/>
        </w:rPr>
        <w:t>目前需要关注的重点和难点</w:t>
      </w:r>
      <w:r>
        <w:rPr>
          <w:rFonts w:hint="eastAsia" w:ascii="仿宋" w:hAnsi="仿宋" w:eastAsia="仿宋"/>
          <w:sz w:val="32"/>
          <w:szCs w:val="32"/>
        </w:rPr>
        <w:t>。各县（区）妇幼</w:t>
      </w:r>
      <w:r>
        <w:rPr>
          <w:rFonts w:ascii="仿宋" w:hAnsi="仿宋" w:eastAsia="仿宋"/>
          <w:sz w:val="32"/>
          <w:szCs w:val="32"/>
        </w:rPr>
        <w:t>保健院</w:t>
      </w:r>
      <w:r>
        <w:rPr>
          <w:rFonts w:hint="eastAsia" w:ascii="仿宋" w:hAnsi="仿宋" w:eastAsia="仿宋"/>
          <w:sz w:val="32"/>
          <w:szCs w:val="32"/>
        </w:rPr>
        <w:t>院长</w:t>
      </w:r>
      <w:r>
        <w:rPr>
          <w:rFonts w:ascii="仿宋" w:hAnsi="仿宋" w:eastAsia="仿宋"/>
          <w:sz w:val="32"/>
          <w:szCs w:val="32"/>
        </w:rPr>
        <w:t>、分管妇幼公共卫生院领导、</w:t>
      </w:r>
      <w:r>
        <w:rPr>
          <w:rFonts w:hint="eastAsia" w:ascii="仿宋" w:hAnsi="仿宋" w:eastAsia="仿宋"/>
          <w:sz w:val="32"/>
          <w:szCs w:val="32"/>
        </w:rPr>
        <w:t>医务部</w:t>
      </w:r>
      <w:r>
        <w:rPr>
          <w:rFonts w:ascii="仿宋" w:hAnsi="仿宋" w:eastAsia="仿宋"/>
          <w:sz w:val="32"/>
          <w:szCs w:val="32"/>
        </w:rPr>
        <w:t>、妇幼健康管理部相关负责人</w:t>
      </w:r>
      <w:r>
        <w:rPr>
          <w:rFonts w:hint="eastAsia" w:ascii="仿宋" w:hAnsi="仿宋" w:eastAsia="仿宋"/>
          <w:sz w:val="32"/>
          <w:szCs w:val="32"/>
        </w:rPr>
        <w:t>3</w:t>
      </w:r>
      <w:r>
        <w:rPr>
          <w:rFonts w:ascii="仿宋" w:hAnsi="仿宋" w:eastAsia="仿宋"/>
          <w:sz w:val="32"/>
          <w:szCs w:val="32"/>
        </w:rPr>
        <w:t>0</w:t>
      </w:r>
      <w:r>
        <w:rPr>
          <w:rFonts w:hint="eastAsia" w:ascii="仿宋" w:hAnsi="仿宋" w:eastAsia="仿宋"/>
          <w:sz w:val="32"/>
          <w:szCs w:val="32"/>
        </w:rPr>
        <w:t>余人</w:t>
      </w:r>
      <w:r>
        <w:rPr>
          <w:rFonts w:ascii="仿宋" w:hAnsi="仿宋" w:eastAsia="仿宋"/>
          <w:sz w:val="32"/>
          <w:szCs w:val="32"/>
        </w:rPr>
        <w:t>参加。</w:t>
      </w:r>
      <w:r>
        <w:rPr>
          <w:rFonts w:hint="eastAsia" w:ascii="仿宋" w:hAnsi="仿宋" w:eastAsia="仿宋"/>
          <w:b/>
          <w:sz w:val="32"/>
          <w:szCs w:val="32"/>
        </w:rPr>
        <w:t>二是</w:t>
      </w:r>
      <w:r>
        <w:rPr>
          <w:rFonts w:ascii="仿宋" w:hAnsi="仿宋" w:eastAsia="仿宋"/>
          <w:sz w:val="32"/>
          <w:szCs w:val="32"/>
        </w:rPr>
        <w:t>2022</w:t>
      </w:r>
      <w:r>
        <w:rPr>
          <w:rFonts w:hint="eastAsia" w:ascii="仿宋" w:hAnsi="仿宋" w:eastAsia="仿宋"/>
          <w:sz w:val="32"/>
          <w:szCs w:val="32"/>
        </w:rPr>
        <w:t>年10月，我院举办了</w:t>
      </w:r>
      <w:r>
        <w:rPr>
          <w:rFonts w:ascii="仿宋" w:hAnsi="仿宋" w:eastAsia="仿宋"/>
          <w:sz w:val="32"/>
          <w:szCs w:val="32"/>
        </w:rPr>
        <w:t>预防艾滋病、梅毒和乙肝母婴传播</w:t>
      </w:r>
      <w:r>
        <w:rPr>
          <w:rFonts w:hint="eastAsia" w:ascii="仿宋" w:hAnsi="仿宋" w:eastAsia="仿宋"/>
          <w:sz w:val="32"/>
          <w:szCs w:val="32"/>
        </w:rPr>
        <w:t>管理</w:t>
      </w:r>
      <w:r>
        <w:rPr>
          <w:rFonts w:ascii="仿宋" w:hAnsi="仿宋" w:eastAsia="仿宋"/>
          <w:sz w:val="32"/>
          <w:szCs w:val="32"/>
        </w:rPr>
        <w:t>暨技术网络培训班。覆盖</w:t>
      </w:r>
      <w:r>
        <w:rPr>
          <w:rFonts w:hint="eastAsia" w:ascii="仿宋" w:hAnsi="仿宋" w:eastAsia="仿宋"/>
          <w:sz w:val="32"/>
          <w:szCs w:val="32"/>
        </w:rPr>
        <w:t>各县（区）</w:t>
      </w:r>
      <w:r>
        <w:rPr>
          <w:rFonts w:ascii="仿宋" w:hAnsi="仿宋" w:eastAsia="仿宋"/>
          <w:sz w:val="32"/>
          <w:szCs w:val="32"/>
        </w:rPr>
        <w:t>妇幼保健院以及部分县级助产机构、乡镇卫生院</w:t>
      </w:r>
      <w:r>
        <w:rPr>
          <w:rFonts w:hint="eastAsia" w:ascii="仿宋" w:hAnsi="仿宋" w:eastAsia="仿宋"/>
          <w:sz w:val="32"/>
          <w:szCs w:val="32"/>
        </w:rPr>
        <w:t>公共</w:t>
      </w:r>
      <w:r>
        <w:rPr>
          <w:rFonts w:ascii="仿宋" w:hAnsi="仿宋" w:eastAsia="仿宋"/>
          <w:sz w:val="32"/>
          <w:szCs w:val="32"/>
        </w:rPr>
        <w:t>卫生管理和临床</w:t>
      </w:r>
      <w:r>
        <w:rPr>
          <w:rFonts w:hint="eastAsia" w:ascii="仿宋" w:hAnsi="仿宋" w:eastAsia="仿宋"/>
          <w:sz w:val="32"/>
          <w:szCs w:val="32"/>
        </w:rPr>
        <w:t>相关</w:t>
      </w:r>
      <w:r>
        <w:rPr>
          <w:rFonts w:ascii="仿宋" w:hAnsi="仿宋" w:eastAsia="仿宋"/>
          <w:sz w:val="32"/>
          <w:szCs w:val="32"/>
        </w:rPr>
        <w:t>专业技术人员</w:t>
      </w:r>
      <w:r>
        <w:rPr>
          <w:rFonts w:hint="eastAsia" w:ascii="仿宋" w:hAnsi="仿宋" w:eastAsia="仿宋"/>
          <w:sz w:val="32"/>
          <w:szCs w:val="32"/>
        </w:rPr>
        <w:t>140余人</w:t>
      </w:r>
      <w:r>
        <w:rPr>
          <w:rFonts w:ascii="仿宋" w:hAnsi="仿宋" w:eastAsia="仿宋"/>
          <w:sz w:val="32"/>
          <w:szCs w:val="32"/>
        </w:rPr>
        <w:t>。</w:t>
      </w:r>
      <w:r>
        <w:rPr>
          <w:rFonts w:hint="eastAsia" w:ascii="仿宋" w:hAnsi="仿宋" w:eastAsia="仿宋"/>
          <w:sz w:val="32"/>
          <w:szCs w:val="32"/>
        </w:rPr>
        <w:t>培训班</w:t>
      </w:r>
      <w:r>
        <w:rPr>
          <w:rFonts w:ascii="仿宋" w:hAnsi="仿宋" w:eastAsia="仿宋"/>
          <w:sz w:val="32"/>
          <w:szCs w:val="32"/>
        </w:rPr>
        <w:t>就实施方案</w:t>
      </w:r>
      <w:r>
        <w:rPr>
          <w:rFonts w:hint="eastAsia" w:ascii="仿宋" w:hAnsi="仿宋" w:eastAsia="仿宋"/>
          <w:sz w:val="32"/>
          <w:szCs w:val="32"/>
        </w:rPr>
        <w:t>进行了再</w:t>
      </w:r>
      <w:r>
        <w:rPr>
          <w:rFonts w:ascii="仿宋" w:hAnsi="仿宋" w:eastAsia="仿宋"/>
          <w:sz w:val="32"/>
          <w:szCs w:val="32"/>
        </w:rPr>
        <w:t>解读</w:t>
      </w:r>
      <w:r>
        <w:rPr>
          <w:rFonts w:hint="eastAsia" w:ascii="仿宋" w:hAnsi="仿宋" w:eastAsia="仿宋"/>
          <w:sz w:val="32"/>
          <w:szCs w:val="32"/>
        </w:rPr>
        <w:t>，</w:t>
      </w:r>
      <w:r>
        <w:rPr>
          <w:rFonts w:ascii="仿宋" w:hAnsi="仿宋" w:eastAsia="仿宋"/>
          <w:sz w:val="32"/>
          <w:szCs w:val="32"/>
        </w:rPr>
        <w:t>同时就暴露儿童随访管理、预防母婴传播干预服务技术要点、实验室检验技术和信息管理要求作了重点讲解。</w:t>
      </w:r>
      <w:r>
        <w:rPr>
          <w:rFonts w:hint="eastAsia" w:ascii="仿宋" w:hAnsi="仿宋" w:eastAsia="仿宋"/>
          <w:sz w:val="32"/>
          <w:szCs w:val="32"/>
        </w:rPr>
        <w:t>通过</w:t>
      </w:r>
      <w:r>
        <w:rPr>
          <w:rFonts w:ascii="仿宋" w:hAnsi="仿宋" w:eastAsia="仿宋"/>
          <w:sz w:val="32"/>
          <w:szCs w:val="32"/>
        </w:rPr>
        <w:t>不断地培训和复训，有利于</w:t>
      </w:r>
      <w:r>
        <w:rPr>
          <w:rFonts w:hint="eastAsia" w:ascii="仿宋" w:hAnsi="仿宋" w:eastAsia="仿宋"/>
          <w:sz w:val="32"/>
          <w:szCs w:val="32"/>
        </w:rPr>
        <w:t>进一步</w:t>
      </w:r>
      <w:r>
        <w:rPr>
          <w:rFonts w:ascii="仿宋" w:hAnsi="仿宋" w:eastAsia="仿宋"/>
          <w:sz w:val="32"/>
          <w:szCs w:val="32"/>
        </w:rPr>
        <w:t>提升</w:t>
      </w:r>
      <w:r>
        <w:rPr>
          <w:rFonts w:hint="eastAsia" w:ascii="仿宋" w:hAnsi="仿宋" w:eastAsia="仿宋"/>
          <w:sz w:val="32"/>
          <w:szCs w:val="32"/>
        </w:rPr>
        <w:t>县（区）妇幼</w:t>
      </w:r>
      <w:r>
        <w:rPr>
          <w:rFonts w:ascii="仿宋" w:hAnsi="仿宋" w:eastAsia="仿宋"/>
          <w:sz w:val="32"/>
          <w:szCs w:val="32"/>
        </w:rPr>
        <w:t>保健</w:t>
      </w:r>
      <w:r>
        <w:rPr>
          <w:rFonts w:hint="eastAsia" w:ascii="仿宋" w:hAnsi="仿宋" w:eastAsia="仿宋"/>
          <w:sz w:val="32"/>
          <w:szCs w:val="32"/>
        </w:rPr>
        <w:t>院</w:t>
      </w:r>
      <w:r>
        <w:rPr>
          <w:rFonts w:ascii="仿宋" w:hAnsi="仿宋" w:eastAsia="仿宋"/>
          <w:sz w:val="32"/>
          <w:szCs w:val="32"/>
        </w:rPr>
        <w:t>预防母婴传播</w:t>
      </w:r>
      <w:r>
        <w:rPr>
          <w:rFonts w:hint="eastAsia" w:ascii="仿宋" w:hAnsi="仿宋" w:eastAsia="仿宋"/>
          <w:sz w:val="32"/>
          <w:szCs w:val="32"/>
        </w:rPr>
        <w:t>工作</w:t>
      </w:r>
      <w:r>
        <w:rPr>
          <w:rFonts w:ascii="仿宋" w:hAnsi="仿宋" w:eastAsia="仿宋"/>
          <w:sz w:val="32"/>
          <w:szCs w:val="32"/>
        </w:rPr>
        <w:t>业务指导能力和水平，</w:t>
      </w:r>
      <w:r>
        <w:rPr>
          <w:rFonts w:hint="eastAsia" w:ascii="仿宋" w:hAnsi="仿宋" w:eastAsia="仿宋"/>
          <w:sz w:val="32"/>
          <w:szCs w:val="32"/>
        </w:rPr>
        <w:t>促进</w:t>
      </w:r>
      <w:r>
        <w:rPr>
          <w:rFonts w:ascii="仿宋" w:hAnsi="仿宋" w:eastAsia="仿宋"/>
          <w:sz w:val="32"/>
          <w:szCs w:val="32"/>
        </w:rPr>
        <w:t>全市预防母婴传播工作质量</w:t>
      </w:r>
      <w:r>
        <w:rPr>
          <w:rFonts w:hint="eastAsia" w:ascii="仿宋" w:hAnsi="仿宋" w:eastAsia="仿宋"/>
          <w:sz w:val="32"/>
          <w:szCs w:val="32"/>
        </w:rPr>
        <w:t>再</w:t>
      </w:r>
      <w:r>
        <w:rPr>
          <w:rFonts w:ascii="仿宋" w:hAnsi="仿宋" w:eastAsia="仿宋"/>
          <w:sz w:val="32"/>
          <w:szCs w:val="32"/>
        </w:rPr>
        <w:t>提高。</w:t>
      </w:r>
    </w:p>
    <w:p>
      <w:pPr>
        <w:ind w:firstLine="640" w:firstLineChars="200"/>
        <w:jc w:val="left"/>
        <w:rPr>
          <w:rFonts w:ascii="仿宋" w:hAnsi="仿宋" w:eastAsia="仿宋"/>
          <w:sz w:val="32"/>
          <w:szCs w:val="32"/>
        </w:rPr>
      </w:pPr>
      <w:r>
        <w:rPr>
          <w:rFonts w:hint="eastAsia" w:ascii="楷体" w:hAnsi="楷体" w:eastAsia="楷体"/>
          <w:sz w:val="32"/>
          <w:szCs w:val="32"/>
          <w:lang w:val="en-US" w:eastAsia="zh-CN"/>
        </w:rPr>
        <w:t>5.</w:t>
      </w:r>
      <w:r>
        <w:rPr>
          <w:rFonts w:hint="eastAsia" w:ascii="楷体" w:hAnsi="楷体" w:eastAsia="楷体"/>
          <w:sz w:val="32"/>
          <w:szCs w:val="32"/>
        </w:rPr>
        <w:t>质量控制方面。</w:t>
      </w:r>
      <w:r>
        <w:rPr>
          <w:rFonts w:hint="eastAsia" w:ascii="仿宋" w:hAnsi="仿宋" w:eastAsia="仿宋"/>
          <w:sz w:val="32"/>
          <w:szCs w:val="32"/>
        </w:rPr>
        <w:t>2022年累计开展预防母婴传播市级专题调研指导2次，市级“三线”联合督导评估2次，现场查看了县级妇幼保健院、人民医院、乡镇卫生院、民营助产机构等40余家医疗保健机构预防母婴传播组织管理、重点人群管理、孕情第一时间发现、孕产妇检测咨询、感染孕产妇及所生儿童干预服务、信息管理、物资管理、健康教育等工作开展落实情况，对存在的问题现场给予了指导，并出具了书面反馈意见，对整改落实情况及时进行了跟踪。</w:t>
      </w:r>
    </w:p>
    <w:p>
      <w:pPr>
        <w:ind w:firstLine="640" w:firstLineChars="200"/>
        <w:jc w:val="left"/>
        <w:rPr>
          <w:rFonts w:ascii="仿宋" w:hAnsi="仿宋" w:eastAsia="仿宋"/>
          <w:sz w:val="32"/>
          <w:szCs w:val="32"/>
        </w:rPr>
      </w:pPr>
      <w:r>
        <w:rPr>
          <w:rFonts w:hint="eastAsia" w:ascii="楷体" w:hAnsi="楷体" w:eastAsia="楷体"/>
          <w:sz w:val="32"/>
          <w:szCs w:val="32"/>
          <w:lang w:val="en-US" w:eastAsia="zh-CN"/>
        </w:rPr>
        <w:t>6.</w:t>
      </w:r>
      <w:r>
        <w:rPr>
          <w:rFonts w:hint="eastAsia" w:ascii="楷体" w:hAnsi="楷体" w:eastAsia="楷体"/>
          <w:sz w:val="32"/>
          <w:szCs w:val="32"/>
        </w:rPr>
        <w:t>健康教育方面。</w:t>
      </w:r>
      <w:r>
        <w:rPr>
          <w:rFonts w:hint="eastAsia" w:ascii="仿宋" w:hAnsi="仿宋" w:eastAsia="仿宋"/>
          <w:sz w:val="32"/>
          <w:szCs w:val="32"/>
        </w:rPr>
        <w:t>根据</w:t>
      </w:r>
      <w:r>
        <w:rPr>
          <w:rFonts w:ascii="仿宋" w:hAnsi="仿宋" w:eastAsia="仿宋"/>
          <w:sz w:val="32"/>
          <w:szCs w:val="32"/>
        </w:rPr>
        <w:t>工作需要，</w:t>
      </w:r>
      <w:r>
        <w:rPr>
          <w:rFonts w:hint="eastAsia" w:ascii="仿宋" w:hAnsi="仿宋" w:eastAsia="仿宋"/>
          <w:sz w:val="32"/>
          <w:szCs w:val="32"/>
        </w:rPr>
        <w:t>年内我院制作了一批价值近3万</w:t>
      </w:r>
      <w:r>
        <w:rPr>
          <w:rFonts w:ascii="仿宋" w:hAnsi="仿宋" w:eastAsia="仿宋"/>
          <w:sz w:val="32"/>
          <w:szCs w:val="32"/>
        </w:rPr>
        <w:t>元</w:t>
      </w:r>
      <w:r>
        <w:rPr>
          <w:rFonts w:hint="eastAsia" w:ascii="仿宋" w:hAnsi="仿宋" w:eastAsia="仿宋"/>
          <w:sz w:val="32"/>
          <w:szCs w:val="32"/>
        </w:rPr>
        <w:t>的预防母婴传播宣传材料，包括毛巾</w:t>
      </w:r>
      <w:r>
        <w:rPr>
          <w:rFonts w:ascii="仿宋" w:hAnsi="仿宋" w:eastAsia="仿宋"/>
          <w:sz w:val="32"/>
          <w:szCs w:val="32"/>
        </w:rPr>
        <w:t>、抽纸、</w:t>
      </w:r>
      <w:r>
        <w:rPr>
          <w:rFonts w:hint="eastAsia" w:ascii="仿宋" w:hAnsi="仿宋" w:eastAsia="仿宋"/>
          <w:sz w:val="32"/>
          <w:szCs w:val="32"/>
        </w:rPr>
        <w:t>一次性纸杯、雨伞和宣传手册，并免费分发至各县（区）妇幼保健院和目标</w:t>
      </w:r>
      <w:r>
        <w:rPr>
          <w:rFonts w:ascii="仿宋" w:hAnsi="仿宋" w:eastAsia="仿宋"/>
          <w:sz w:val="32"/>
          <w:szCs w:val="32"/>
        </w:rPr>
        <w:t>人群</w:t>
      </w:r>
      <w:r>
        <w:rPr>
          <w:rFonts w:hint="eastAsia" w:ascii="仿宋" w:hAnsi="仿宋" w:eastAsia="仿宋"/>
          <w:sz w:val="32"/>
          <w:szCs w:val="32"/>
        </w:rPr>
        <w:t>；利用世界艾滋病日、主题党日</w:t>
      </w:r>
      <w:r>
        <w:rPr>
          <w:rFonts w:ascii="仿宋" w:hAnsi="仿宋" w:eastAsia="仿宋"/>
          <w:sz w:val="32"/>
          <w:szCs w:val="32"/>
        </w:rPr>
        <w:t>、主题团日</w:t>
      </w:r>
      <w:r>
        <w:rPr>
          <w:rFonts w:hint="eastAsia" w:ascii="仿宋" w:hAnsi="仿宋" w:eastAsia="仿宋"/>
          <w:sz w:val="32"/>
          <w:szCs w:val="32"/>
        </w:rPr>
        <w:t>等宣传活动时机，开展预防母婴传播 “一对一”宣讲、</w:t>
      </w:r>
      <w:r>
        <w:rPr>
          <w:rFonts w:ascii="仿宋" w:hAnsi="仿宋" w:eastAsia="仿宋"/>
          <w:sz w:val="32"/>
          <w:szCs w:val="32"/>
        </w:rPr>
        <w:t>发放</w:t>
      </w:r>
      <w:r>
        <w:rPr>
          <w:rFonts w:hint="eastAsia" w:ascii="仿宋" w:hAnsi="仿宋" w:eastAsia="仿宋"/>
          <w:sz w:val="32"/>
          <w:szCs w:val="32"/>
        </w:rPr>
        <w:t>宣传</w:t>
      </w:r>
      <w:r>
        <w:rPr>
          <w:rFonts w:ascii="仿宋" w:hAnsi="仿宋" w:eastAsia="仿宋"/>
          <w:sz w:val="32"/>
          <w:szCs w:val="32"/>
        </w:rPr>
        <w:t>资料</w:t>
      </w:r>
      <w:r>
        <w:rPr>
          <w:rFonts w:hint="eastAsia" w:ascii="仿宋" w:hAnsi="仿宋" w:eastAsia="仿宋"/>
          <w:sz w:val="32"/>
          <w:szCs w:val="32"/>
        </w:rPr>
        <w:t>、</w:t>
      </w:r>
      <w:r>
        <w:rPr>
          <w:rFonts w:ascii="仿宋" w:hAnsi="仿宋" w:eastAsia="仿宋"/>
          <w:sz w:val="32"/>
          <w:szCs w:val="32"/>
        </w:rPr>
        <w:t>社区宣教</w:t>
      </w:r>
      <w:r>
        <w:rPr>
          <w:rFonts w:hint="eastAsia" w:ascii="仿宋" w:hAnsi="仿宋" w:eastAsia="仿宋"/>
          <w:sz w:val="32"/>
          <w:szCs w:val="32"/>
        </w:rPr>
        <w:t>等形式</w:t>
      </w:r>
      <w:r>
        <w:rPr>
          <w:rFonts w:ascii="仿宋" w:hAnsi="仿宋" w:eastAsia="仿宋"/>
          <w:sz w:val="32"/>
          <w:szCs w:val="32"/>
        </w:rPr>
        <w:t>的</w:t>
      </w:r>
      <w:r>
        <w:rPr>
          <w:rFonts w:hint="eastAsia" w:ascii="仿宋" w:hAnsi="仿宋" w:eastAsia="仿宋"/>
          <w:sz w:val="32"/>
          <w:szCs w:val="32"/>
        </w:rPr>
        <w:t>大众健康教育活动</w:t>
      </w:r>
      <w:r>
        <w:rPr>
          <w:rFonts w:ascii="仿宋" w:hAnsi="仿宋" w:eastAsia="仿宋"/>
          <w:sz w:val="32"/>
          <w:szCs w:val="32"/>
        </w:rPr>
        <w:t>共3</w:t>
      </w:r>
      <w:r>
        <w:rPr>
          <w:rFonts w:hint="eastAsia" w:ascii="仿宋" w:hAnsi="仿宋" w:eastAsia="仿宋"/>
          <w:sz w:val="32"/>
          <w:szCs w:val="32"/>
        </w:rPr>
        <w:t>次,约 300余人获益；院内设置了预防母婴传播知识宣传展板、海报，婚检室、孕期保健门诊、产后康复门诊、孕妇学校等重点场所摆放了宣传资料，利用电视、LED显示屏长期滚动播放宣传片和标语，营造了浓厚</w:t>
      </w:r>
      <w:r>
        <w:rPr>
          <w:rFonts w:ascii="仿宋" w:hAnsi="仿宋" w:eastAsia="仿宋"/>
          <w:sz w:val="32"/>
          <w:szCs w:val="32"/>
        </w:rPr>
        <w:t>的宣传氛围，</w:t>
      </w:r>
      <w:r>
        <w:rPr>
          <w:rFonts w:hint="eastAsia" w:ascii="仿宋" w:hAnsi="仿宋" w:eastAsia="仿宋"/>
          <w:sz w:val="32"/>
          <w:szCs w:val="32"/>
        </w:rPr>
        <w:t>有助于增进孕产妇及其家庭成员健康意识。</w:t>
      </w:r>
    </w:p>
    <w:p>
      <w:pPr>
        <w:ind w:firstLine="640" w:firstLineChars="200"/>
        <w:jc w:val="left"/>
        <w:rPr>
          <w:rFonts w:ascii="仿宋" w:hAnsi="仿宋" w:eastAsia="仿宋"/>
          <w:sz w:val="32"/>
          <w:szCs w:val="32"/>
        </w:rPr>
      </w:pPr>
      <w:r>
        <w:rPr>
          <w:rFonts w:hint="eastAsia" w:ascii="楷体" w:hAnsi="楷体" w:eastAsia="楷体"/>
          <w:sz w:val="32"/>
          <w:szCs w:val="32"/>
          <w:lang w:val="en-US" w:eastAsia="zh-CN"/>
        </w:rPr>
        <w:t>7.</w:t>
      </w:r>
      <w:r>
        <w:rPr>
          <w:rFonts w:hint="eastAsia" w:ascii="楷体" w:hAnsi="楷体" w:eastAsia="楷体"/>
          <w:sz w:val="32"/>
          <w:szCs w:val="32"/>
        </w:rPr>
        <w:t>信息管理方面。</w:t>
      </w:r>
      <w:r>
        <w:rPr>
          <w:rFonts w:hint="eastAsia" w:ascii="仿宋" w:hAnsi="仿宋" w:eastAsia="仿宋"/>
          <w:sz w:val="32"/>
          <w:szCs w:val="32"/>
        </w:rPr>
        <w:t>我办结合预防母婴传播专题调研和联合督导对预防母婴传播信息进行了质控，质控内容包括原始登记质量、个案卡填报质量、报表数据的准确性、档案管理的规范性等，并对存在的问题进行了详细通报。与同级疾控中心、抗病毒治疗定点医院建立了顺畅的信息沟通交换机制，适时对相关数据进行比对核查，确保了系统间信息一致。</w:t>
      </w:r>
    </w:p>
    <w:p>
      <w:pPr>
        <w:ind w:firstLine="640" w:firstLineChars="200"/>
        <w:jc w:val="left"/>
        <w:rPr>
          <w:rFonts w:ascii="仿宋" w:hAnsi="仿宋" w:eastAsia="仿宋"/>
          <w:sz w:val="32"/>
          <w:szCs w:val="32"/>
        </w:rPr>
      </w:pPr>
      <w:r>
        <w:rPr>
          <w:rFonts w:hint="eastAsia" w:ascii="楷体" w:hAnsi="楷体" w:eastAsia="楷体"/>
          <w:sz w:val="32"/>
          <w:szCs w:val="32"/>
          <w:lang w:val="en-US" w:eastAsia="zh-CN"/>
        </w:rPr>
        <w:t>8.</w:t>
      </w:r>
      <w:r>
        <w:rPr>
          <w:rFonts w:hint="eastAsia" w:ascii="楷体" w:hAnsi="楷体" w:eastAsia="楷体"/>
          <w:sz w:val="32"/>
          <w:szCs w:val="32"/>
        </w:rPr>
        <w:t>个案转介方面。</w:t>
      </w:r>
      <w:r>
        <w:rPr>
          <w:rFonts w:hint="eastAsia" w:ascii="仿宋" w:hAnsi="仿宋" w:eastAsia="仿宋"/>
          <w:sz w:val="32"/>
          <w:szCs w:val="32"/>
        </w:rPr>
        <w:t>各级确定了专人负责辖区和机构内感染孕产妇及所生儿童转介工作，区域间及</w:t>
      </w:r>
      <w:r>
        <w:rPr>
          <w:rFonts w:ascii="仿宋" w:hAnsi="仿宋" w:eastAsia="仿宋"/>
          <w:sz w:val="32"/>
          <w:szCs w:val="32"/>
        </w:rPr>
        <w:t>医疗机构间</w:t>
      </w:r>
      <w:r>
        <w:rPr>
          <w:rFonts w:hint="eastAsia" w:ascii="仿宋" w:hAnsi="仿宋" w:eastAsia="仿宋"/>
          <w:sz w:val="32"/>
          <w:szCs w:val="32"/>
        </w:rPr>
        <w:t>预防</w:t>
      </w:r>
      <w:r>
        <w:rPr>
          <w:rFonts w:ascii="仿宋" w:hAnsi="仿宋" w:eastAsia="仿宋"/>
          <w:sz w:val="32"/>
          <w:szCs w:val="32"/>
        </w:rPr>
        <w:t>母婴传播</w:t>
      </w:r>
      <w:r>
        <w:rPr>
          <w:rFonts w:hint="eastAsia" w:ascii="仿宋" w:hAnsi="仿宋" w:eastAsia="仿宋"/>
          <w:sz w:val="32"/>
          <w:szCs w:val="32"/>
        </w:rPr>
        <w:t>个案转介联络平台畅通运行。年内我市分别为</w:t>
      </w:r>
      <w:r>
        <w:rPr>
          <w:rFonts w:ascii="仿宋" w:hAnsi="仿宋" w:eastAsia="仿宋"/>
          <w:sz w:val="32"/>
          <w:szCs w:val="32"/>
        </w:rPr>
        <w:t>2</w:t>
      </w:r>
      <w:r>
        <w:rPr>
          <w:rFonts w:hint="eastAsia" w:ascii="仿宋" w:hAnsi="仿宋" w:eastAsia="仿宋"/>
          <w:sz w:val="32"/>
          <w:szCs w:val="32"/>
        </w:rPr>
        <w:t>例艾滋病感染孕产妇、</w:t>
      </w:r>
      <w:r>
        <w:rPr>
          <w:rFonts w:ascii="仿宋" w:hAnsi="仿宋" w:eastAsia="仿宋"/>
          <w:sz w:val="32"/>
          <w:szCs w:val="32"/>
        </w:rPr>
        <w:t>1</w:t>
      </w:r>
      <w:r>
        <w:rPr>
          <w:rFonts w:hint="eastAsia" w:ascii="仿宋" w:hAnsi="仿宋" w:eastAsia="仿宋"/>
          <w:sz w:val="32"/>
          <w:szCs w:val="32"/>
        </w:rPr>
        <w:t>例艾滋病感染孕产妇所生儿童、</w:t>
      </w:r>
      <w:r>
        <w:rPr>
          <w:rFonts w:ascii="仿宋" w:hAnsi="仿宋" w:eastAsia="仿宋"/>
          <w:sz w:val="32"/>
          <w:szCs w:val="32"/>
        </w:rPr>
        <w:t>3</w:t>
      </w:r>
      <w:r>
        <w:rPr>
          <w:rFonts w:hint="eastAsia" w:ascii="仿宋" w:hAnsi="仿宋" w:eastAsia="仿宋"/>
          <w:sz w:val="32"/>
          <w:szCs w:val="32"/>
        </w:rPr>
        <w:t>例梅毒感染孕产妇以及</w:t>
      </w:r>
      <w:r>
        <w:rPr>
          <w:rFonts w:ascii="仿宋" w:hAnsi="仿宋" w:eastAsia="仿宋"/>
          <w:sz w:val="32"/>
          <w:szCs w:val="32"/>
        </w:rPr>
        <w:t>8</w:t>
      </w:r>
      <w:r>
        <w:rPr>
          <w:rFonts w:hint="eastAsia" w:ascii="仿宋" w:hAnsi="仿宋" w:eastAsia="仿宋"/>
          <w:sz w:val="32"/>
          <w:szCs w:val="32"/>
        </w:rPr>
        <w:t>例梅毒感染孕产妇所生儿童提供了转介服务，并对转介后随访管理服务利用情况进行了跟踪。</w:t>
      </w:r>
    </w:p>
    <w:p>
      <w:pPr>
        <w:ind w:firstLine="640" w:firstLineChars="200"/>
        <w:jc w:val="left"/>
        <w:rPr>
          <w:rFonts w:ascii="仿宋" w:hAnsi="仿宋" w:eastAsia="仿宋"/>
          <w:sz w:val="32"/>
          <w:szCs w:val="32"/>
        </w:rPr>
      </w:pPr>
      <w:r>
        <w:rPr>
          <w:rFonts w:hint="eastAsia" w:ascii="楷体" w:hAnsi="楷体" w:eastAsia="楷体"/>
          <w:sz w:val="32"/>
          <w:szCs w:val="32"/>
          <w:lang w:val="en-US" w:eastAsia="zh-CN"/>
        </w:rPr>
        <w:t>9.</w:t>
      </w:r>
      <w:r>
        <w:rPr>
          <w:rFonts w:hint="eastAsia" w:ascii="楷体" w:hAnsi="楷体" w:eastAsia="楷体"/>
          <w:sz w:val="32"/>
          <w:szCs w:val="32"/>
        </w:rPr>
        <w:t>物资管理方面。</w:t>
      </w:r>
      <w:r>
        <w:rPr>
          <w:rFonts w:hint="eastAsia" w:ascii="仿宋" w:hAnsi="仿宋" w:eastAsia="仿宋"/>
          <w:sz w:val="32"/>
          <w:szCs w:val="32"/>
        </w:rPr>
        <w:t>一是把好物资采购关，各县（区）妇幼保健院明确了专门科室负责预防母婴传播物资采购，坚持按需采购、择优择廉采购的原则，有效避免了物资断档或浪费情况发生。二是严格物资出入库管理，对预防母婴传播各类物资实行建账立卡，做到了</w:t>
      </w:r>
      <w:r>
        <w:rPr>
          <w:rFonts w:hint="eastAsia" w:ascii="仿宋" w:hAnsi="仿宋" w:eastAsia="仿宋"/>
          <w:sz w:val="32"/>
          <w:szCs w:val="32"/>
          <w:lang w:eastAsia="zh-CN"/>
        </w:rPr>
        <w:t>账物</w:t>
      </w:r>
      <w:r>
        <w:rPr>
          <w:rFonts w:hint="eastAsia" w:ascii="仿宋" w:hAnsi="仿宋" w:eastAsia="仿宋"/>
          <w:sz w:val="32"/>
          <w:szCs w:val="32"/>
        </w:rPr>
        <w:t>相符。三是规范资金使用，严格补助经费发放，确保项目经费专用于疾病检测、综合干预、随访管理和能力建设等工作，提高服务效能，增强群众获得感。2022年</w:t>
      </w:r>
      <w:r>
        <w:rPr>
          <w:rFonts w:ascii="仿宋" w:hAnsi="仿宋" w:eastAsia="仿宋"/>
          <w:sz w:val="32"/>
          <w:szCs w:val="32"/>
        </w:rPr>
        <w:t>，全市预防母婴传播资金使用共计</w:t>
      </w:r>
      <w:r>
        <w:rPr>
          <w:rFonts w:hint="eastAsia" w:ascii="仿宋" w:hAnsi="仿宋" w:eastAsia="仿宋"/>
          <w:sz w:val="32"/>
          <w:szCs w:val="32"/>
        </w:rPr>
        <w:t>约1</w:t>
      </w:r>
      <w:r>
        <w:rPr>
          <w:rFonts w:ascii="仿宋" w:hAnsi="仿宋" w:eastAsia="仿宋"/>
          <w:sz w:val="32"/>
          <w:szCs w:val="32"/>
        </w:rPr>
        <w:t>8</w:t>
      </w:r>
      <w:r>
        <w:rPr>
          <w:rFonts w:hint="eastAsia" w:ascii="仿宋" w:hAnsi="仿宋" w:eastAsia="仿宋"/>
          <w:sz w:val="32"/>
          <w:szCs w:val="32"/>
        </w:rPr>
        <w:t>0余</w:t>
      </w:r>
      <w:r>
        <w:rPr>
          <w:rFonts w:ascii="仿宋" w:hAnsi="仿宋" w:eastAsia="仿宋"/>
          <w:sz w:val="32"/>
          <w:szCs w:val="32"/>
        </w:rPr>
        <w:t>万元。</w:t>
      </w:r>
    </w:p>
    <w:p>
      <w:pPr>
        <w:ind w:firstLine="640" w:firstLineChars="200"/>
        <w:jc w:val="left"/>
        <w:rPr>
          <w:rFonts w:ascii="黑体" w:hAnsi="黑体" w:eastAsia="黑体"/>
          <w:sz w:val="32"/>
          <w:szCs w:val="32"/>
        </w:rPr>
      </w:pPr>
      <w:r>
        <w:rPr>
          <w:rFonts w:hint="eastAsia" w:ascii="黑体" w:hAnsi="黑体" w:eastAsia="黑体"/>
          <w:sz w:val="32"/>
          <w:szCs w:val="32"/>
          <w:lang w:eastAsia="zh-CN"/>
        </w:rPr>
        <w:t>（</w:t>
      </w:r>
      <w:r>
        <w:rPr>
          <w:rFonts w:hint="eastAsia" w:ascii="黑体" w:hAnsi="黑体" w:eastAsia="黑体"/>
          <w:sz w:val="32"/>
          <w:szCs w:val="32"/>
        </w:rPr>
        <w:t>三</w:t>
      </w:r>
      <w:r>
        <w:rPr>
          <w:rFonts w:hint="eastAsia" w:ascii="黑体" w:hAnsi="黑体" w:eastAsia="黑体"/>
          <w:sz w:val="32"/>
          <w:szCs w:val="32"/>
          <w:lang w:eastAsia="zh-CN"/>
        </w:rPr>
        <w:t>）</w:t>
      </w:r>
      <w:r>
        <w:rPr>
          <w:rFonts w:hint="eastAsia" w:ascii="黑体" w:hAnsi="黑体" w:eastAsia="黑体"/>
          <w:sz w:val="32"/>
          <w:szCs w:val="32"/>
        </w:rPr>
        <w:t>亮点特色</w:t>
      </w:r>
    </w:p>
    <w:p>
      <w:pPr>
        <w:ind w:firstLine="640" w:firstLineChars="200"/>
        <w:jc w:val="left"/>
        <w:rPr>
          <w:rFonts w:ascii="仿宋" w:hAnsi="仿宋" w:eastAsia="仿宋"/>
          <w:sz w:val="32"/>
          <w:szCs w:val="32"/>
        </w:rPr>
      </w:pPr>
      <w:r>
        <w:rPr>
          <w:rFonts w:hint="eastAsia" w:ascii="仿宋" w:hAnsi="仿宋" w:eastAsia="仿宋"/>
          <w:sz w:val="32"/>
          <w:szCs w:val="32"/>
        </w:rPr>
        <w:t>新冠</w:t>
      </w:r>
      <w:r>
        <w:rPr>
          <w:rFonts w:ascii="仿宋" w:hAnsi="仿宋" w:eastAsia="仿宋"/>
          <w:sz w:val="32"/>
          <w:szCs w:val="32"/>
        </w:rPr>
        <w:t>病毒感染疫情常态化防控期间，</w:t>
      </w:r>
      <w:r>
        <w:rPr>
          <w:rFonts w:hint="eastAsia" w:ascii="仿宋" w:hAnsi="仿宋" w:eastAsia="仿宋"/>
          <w:sz w:val="32"/>
          <w:szCs w:val="32"/>
        </w:rPr>
        <w:t>我市</w:t>
      </w:r>
      <w:r>
        <w:rPr>
          <w:rFonts w:ascii="仿宋" w:hAnsi="仿宋" w:eastAsia="仿宋"/>
          <w:sz w:val="32"/>
          <w:szCs w:val="32"/>
        </w:rPr>
        <w:t>妇幼保健机构与集中隔离点建立了</w:t>
      </w:r>
      <w:r>
        <w:rPr>
          <w:rFonts w:hint="eastAsia" w:ascii="仿宋" w:hAnsi="仿宋" w:eastAsia="仿宋"/>
          <w:sz w:val="32"/>
          <w:szCs w:val="32"/>
        </w:rPr>
        <w:t>育龄妇女孕情</w:t>
      </w:r>
      <w:r>
        <w:rPr>
          <w:rFonts w:ascii="仿宋" w:hAnsi="仿宋" w:eastAsia="仿宋"/>
          <w:sz w:val="32"/>
          <w:szCs w:val="32"/>
        </w:rPr>
        <w:t>排查</w:t>
      </w:r>
      <w:r>
        <w:rPr>
          <w:rFonts w:hint="eastAsia" w:ascii="仿宋" w:hAnsi="仿宋" w:eastAsia="仿宋"/>
          <w:sz w:val="32"/>
          <w:szCs w:val="32"/>
        </w:rPr>
        <w:t>机制。各隔离点</w:t>
      </w:r>
      <w:r>
        <w:rPr>
          <w:rFonts w:ascii="仿宋" w:hAnsi="仿宋" w:eastAsia="仿宋"/>
          <w:sz w:val="32"/>
          <w:szCs w:val="32"/>
        </w:rPr>
        <w:t>每日向</w:t>
      </w:r>
      <w:r>
        <w:rPr>
          <w:rFonts w:hint="eastAsia" w:ascii="仿宋" w:hAnsi="仿宋" w:eastAsia="仿宋"/>
          <w:sz w:val="32"/>
          <w:szCs w:val="32"/>
        </w:rPr>
        <w:t>所在地</w:t>
      </w:r>
      <w:r>
        <w:rPr>
          <w:rFonts w:ascii="仿宋" w:hAnsi="仿宋" w:eastAsia="仿宋"/>
          <w:sz w:val="32"/>
          <w:szCs w:val="32"/>
        </w:rPr>
        <w:t>乡镇卫生院</w:t>
      </w:r>
      <w:r>
        <w:rPr>
          <w:rFonts w:hint="eastAsia" w:ascii="仿宋" w:hAnsi="仿宋" w:eastAsia="仿宋"/>
          <w:sz w:val="32"/>
          <w:szCs w:val="32"/>
        </w:rPr>
        <w:t>报送</w:t>
      </w:r>
      <w:r>
        <w:rPr>
          <w:rFonts w:ascii="仿宋" w:hAnsi="仿宋" w:eastAsia="仿宋"/>
          <w:sz w:val="32"/>
          <w:szCs w:val="32"/>
        </w:rPr>
        <w:t>隔离孕妇排查台账，</w:t>
      </w:r>
      <w:r>
        <w:rPr>
          <w:rFonts w:hint="eastAsia" w:ascii="仿宋" w:hAnsi="仿宋" w:eastAsia="仿宋"/>
          <w:sz w:val="32"/>
          <w:szCs w:val="32"/>
        </w:rPr>
        <w:t>乡镇</w:t>
      </w:r>
      <w:r>
        <w:rPr>
          <w:rFonts w:ascii="仿宋" w:hAnsi="仿宋" w:eastAsia="仿宋"/>
          <w:sz w:val="32"/>
          <w:szCs w:val="32"/>
        </w:rPr>
        <w:t>卫生院汇总后逐级报送至辖区妇幼保健院</w:t>
      </w:r>
      <w:r>
        <w:rPr>
          <w:rFonts w:hint="eastAsia" w:ascii="仿宋" w:hAnsi="仿宋" w:eastAsia="仿宋"/>
          <w:sz w:val="32"/>
          <w:szCs w:val="32"/>
        </w:rPr>
        <w:t>。</w:t>
      </w:r>
      <w:r>
        <w:rPr>
          <w:rFonts w:ascii="仿宋" w:hAnsi="仿宋" w:eastAsia="仿宋"/>
          <w:sz w:val="32"/>
          <w:szCs w:val="32"/>
        </w:rPr>
        <w:t>针对</w:t>
      </w:r>
      <w:r>
        <w:rPr>
          <w:rFonts w:hint="eastAsia" w:ascii="仿宋" w:hAnsi="仿宋" w:eastAsia="仿宋"/>
          <w:sz w:val="32"/>
          <w:szCs w:val="32"/>
        </w:rPr>
        <w:t>隔离中</w:t>
      </w:r>
      <w:r>
        <w:rPr>
          <w:rFonts w:ascii="仿宋" w:hAnsi="仿宋" w:eastAsia="仿宋"/>
          <w:sz w:val="32"/>
          <w:szCs w:val="32"/>
        </w:rPr>
        <w:t>的孕妇，</w:t>
      </w:r>
      <w:r>
        <w:rPr>
          <w:rFonts w:hint="eastAsia" w:ascii="仿宋" w:hAnsi="仿宋" w:eastAsia="仿宋"/>
          <w:sz w:val="32"/>
          <w:szCs w:val="32"/>
        </w:rPr>
        <w:t>妇幼</w:t>
      </w:r>
      <w:r>
        <w:rPr>
          <w:rFonts w:ascii="仿宋" w:hAnsi="仿宋" w:eastAsia="仿宋"/>
          <w:sz w:val="32"/>
          <w:szCs w:val="32"/>
        </w:rPr>
        <w:t>保健院</w:t>
      </w:r>
      <w:r>
        <w:rPr>
          <w:rFonts w:hint="eastAsia" w:ascii="仿宋" w:hAnsi="仿宋" w:eastAsia="仿宋"/>
          <w:sz w:val="32"/>
          <w:szCs w:val="32"/>
        </w:rPr>
        <w:t>组织孕期</w:t>
      </w:r>
      <w:r>
        <w:rPr>
          <w:rFonts w:ascii="仿宋" w:hAnsi="仿宋" w:eastAsia="仿宋"/>
          <w:sz w:val="32"/>
          <w:szCs w:val="32"/>
        </w:rPr>
        <w:t>保健服务</w:t>
      </w:r>
      <w:r>
        <w:rPr>
          <w:rFonts w:hint="eastAsia" w:ascii="仿宋" w:hAnsi="仿宋" w:eastAsia="仿宋"/>
          <w:sz w:val="32"/>
          <w:szCs w:val="32"/>
        </w:rPr>
        <w:t>专班</w:t>
      </w:r>
      <w:r>
        <w:rPr>
          <w:rFonts w:ascii="仿宋" w:hAnsi="仿宋" w:eastAsia="仿宋"/>
          <w:sz w:val="32"/>
          <w:szCs w:val="32"/>
        </w:rPr>
        <w:t>上门提供产检，</w:t>
      </w:r>
      <w:r>
        <w:rPr>
          <w:rFonts w:hint="eastAsia" w:ascii="仿宋" w:hAnsi="仿宋" w:eastAsia="仿宋"/>
          <w:sz w:val="32"/>
          <w:szCs w:val="32"/>
        </w:rPr>
        <w:t>对隔离</w:t>
      </w:r>
      <w:r>
        <w:rPr>
          <w:rFonts w:ascii="仿宋" w:hAnsi="仿宋" w:eastAsia="仿宋"/>
          <w:sz w:val="32"/>
          <w:szCs w:val="32"/>
        </w:rPr>
        <w:t>管控人员</w:t>
      </w:r>
      <w:r>
        <w:rPr>
          <w:rFonts w:hint="eastAsia" w:ascii="仿宋" w:hAnsi="仿宋" w:eastAsia="仿宋"/>
          <w:sz w:val="32"/>
          <w:szCs w:val="32"/>
        </w:rPr>
        <w:t>做到了</w:t>
      </w:r>
      <w:r>
        <w:rPr>
          <w:rFonts w:ascii="仿宋" w:hAnsi="仿宋" w:eastAsia="仿宋"/>
          <w:sz w:val="32"/>
          <w:szCs w:val="32"/>
        </w:rPr>
        <w:t>“</w:t>
      </w:r>
      <w:r>
        <w:rPr>
          <w:rFonts w:hint="eastAsia" w:ascii="仿宋" w:hAnsi="仿宋" w:eastAsia="仿宋"/>
          <w:sz w:val="32"/>
          <w:szCs w:val="32"/>
        </w:rPr>
        <w:t>逢妇必问</w:t>
      </w:r>
      <w:r>
        <w:rPr>
          <w:rFonts w:ascii="仿宋" w:hAnsi="仿宋" w:eastAsia="仿宋"/>
          <w:sz w:val="32"/>
          <w:szCs w:val="32"/>
        </w:rPr>
        <w:t>、逢孕必检”</w:t>
      </w:r>
      <w:r>
        <w:rPr>
          <w:rFonts w:hint="eastAsia" w:ascii="仿宋" w:hAnsi="仿宋" w:eastAsia="仿宋"/>
          <w:sz w:val="32"/>
          <w:szCs w:val="32"/>
        </w:rPr>
        <w:t>。</w:t>
      </w:r>
    </w:p>
    <w:p>
      <w:pPr>
        <w:pStyle w:val="4"/>
        <w:numPr>
          <w:ilvl w:val="0"/>
          <w:numId w:val="1"/>
        </w:numPr>
        <w:ind w:left="0" w:leftChars="0" w:firstLine="0" w:firstLineChars="0"/>
        <w:rPr>
          <w:rFonts w:hint="eastAsia" w:ascii="黑体" w:hAnsi="黑体" w:eastAsia="黑体"/>
          <w:b w:val="0"/>
          <w:color w:val="auto"/>
          <w:highlight w:val="none"/>
          <w:lang w:val="en-US" w:eastAsia="zh-CN"/>
        </w:rPr>
      </w:pPr>
      <w:r>
        <w:rPr>
          <w:rFonts w:hint="eastAsia" w:ascii="黑体" w:hAnsi="黑体" w:eastAsia="黑体"/>
          <w:b w:val="0"/>
          <w:color w:val="auto"/>
          <w:highlight w:val="none"/>
          <w:lang w:val="en-US" w:eastAsia="zh-CN"/>
        </w:rPr>
        <w:t>机构设置</w:t>
      </w:r>
      <w:bookmarkEnd w:id="22"/>
    </w:p>
    <w:p>
      <w:pPr>
        <w:ind w:firstLine="640" w:firstLineChars="200"/>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认真贯彻落实党支部领导下的院长负责制，进一步明确了党支部组织架构和行政组织架构，选强配齐党支部领导班子成员7名，行政班子1正4副，工会主席1名。选举成立妇委会，组织工会换届，医院党支部评选为公立医院标杆党支部，升级更名为党总支，新成立三个党支部和两个团支部。新修订“三定”方案，选强配齐职能科室和中层管理干部，组织架构进一步规范，院科层级管理与责任管理更加清晰。</w:t>
      </w:r>
    </w:p>
    <w:p>
      <w:pPr>
        <w:numPr>
          <w:ilvl w:val="0"/>
          <w:numId w:val="0"/>
        </w:numPr>
        <w:ind w:leftChars="0"/>
        <w:rPr>
          <w:rFonts w:hint="eastAsia"/>
          <w:lang w:val="en-US" w:eastAsia="zh-CN"/>
        </w:rPr>
      </w:pPr>
    </w:p>
    <w:bookmarkEnd w:id="18"/>
    <w:bookmarkEnd w:id="19"/>
    <w:p>
      <w:pPr>
        <w:widowControl/>
        <w:jc w:val="left"/>
        <w:rPr>
          <w:rFonts w:ascii="仿宋" w:hAnsi="仿宋" w:eastAsia="仿宋"/>
          <w:color w:val="auto"/>
          <w:kern w:val="0"/>
          <w:sz w:val="32"/>
          <w:szCs w:val="32"/>
          <w:highlight w:val="none"/>
        </w:rPr>
      </w:pPr>
      <w:r>
        <w:rPr>
          <w:rFonts w:ascii="仿宋" w:hAnsi="仿宋" w:eastAsia="仿宋"/>
          <w:color w:val="auto"/>
          <w:sz w:val="32"/>
          <w:szCs w:val="32"/>
          <w:highlight w:val="none"/>
        </w:rPr>
        <w:br w:type="page"/>
      </w:r>
    </w:p>
    <w:p>
      <w:pPr>
        <w:pStyle w:val="3"/>
        <w:ind w:right="440"/>
        <w:jc w:val="center"/>
        <w:rPr>
          <w:rStyle w:val="26"/>
          <w:rFonts w:ascii="黑体" w:hAnsi="黑体" w:eastAsia="黑体"/>
          <w:b w:val="0"/>
          <w:bCs/>
          <w:color w:val="auto"/>
          <w:highlight w:val="none"/>
        </w:rPr>
      </w:pPr>
      <w:bookmarkStart w:id="23" w:name="_Toc13969"/>
      <w:bookmarkStart w:id="24" w:name="_Toc15396602"/>
      <w:bookmarkStart w:id="25" w:name="_Toc15377204"/>
      <w:r>
        <w:rPr>
          <w:rFonts w:hint="eastAsia" w:ascii="黑体" w:hAnsi="黑体" w:eastAsia="黑体"/>
          <w:b w:val="0"/>
          <w:bCs/>
          <w:color w:val="auto"/>
          <w:highlight w:val="none"/>
        </w:rPr>
        <w:t xml:space="preserve">第二部分 </w:t>
      </w:r>
      <w:r>
        <w:rPr>
          <w:rFonts w:hint="eastAsia" w:ascii="黑体" w:hAnsi="黑体" w:eastAsia="黑体"/>
          <w:b w:val="0"/>
          <w:bCs/>
          <w:color w:val="auto"/>
          <w:highlight w:val="none"/>
          <w:lang w:val="en-US" w:eastAsia="zh-CN"/>
        </w:rPr>
        <w:t>2022年度</w:t>
      </w:r>
      <w:r>
        <w:rPr>
          <w:rStyle w:val="26"/>
          <w:rFonts w:hint="eastAsia" w:ascii="黑体" w:hAnsi="黑体" w:eastAsia="黑体"/>
          <w:b w:val="0"/>
          <w:bCs/>
          <w:color w:val="auto"/>
          <w:highlight w:val="none"/>
          <w:lang w:eastAsia="zh-CN"/>
        </w:rPr>
        <w:t>单位</w:t>
      </w:r>
      <w:r>
        <w:rPr>
          <w:rStyle w:val="26"/>
          <w:rFonts w:hint="eastAsia" w:ascii="黑体" w:hAnsi="黑体" w:eastAsia="黑体"/>
          <w:b w:val="0"/>
          <w:bCs/>
          <w:color w:val="auto"/>
          <w:highlight w:val="none"/>
        </w:rPr>
        <w:t>决算情况说明</w:t>
      </w:r>
      <w:bookmarkEnd w:id="23"/>
      <w:bookmarkEnd w:id="24"/>
      <w:bookmarkEnd w:id="25"/>
    </w:p>
    <w:p>
      <w:pPr>
        <w:rPr>
          <w:color w:val="auto"/>
          <w:highlight w:val="none"/>
        </w:rPr>
      </w:pPr>
    </w:p>
    <w:p>
      <w:pPr>
        <w:pStyle w:val="25"/>
        <w:numPr>
          <w:ilvl w:val="0"/>
          <w:numId w:val="2"/>
        </w:numPr>
        <w:spacing w:line="600" w:lineRule="exact"/>
        <w:ind w:firstLineChars="0"/>
        <w:outlineLvl w:val="1"/>
        <w:rPr>
          <w:rStyle w:val="27"/>
          <w:rFonts w:ascii="黑体" w:hAnsi="黑体" w:eastAsia="黑体"/>
          <w:b w:val="0"/>
          <w:color w:val="auto"/>
          <w:highlight w:val="none"/>
        </w:rPr>
      </w:pPr>
      <w:bookmarkStart w:id="26" w:name="_Toc28466"/>
      <w:bookmarkStart w:id="27" w:name="_Toc15377205"/>
      <w:bookmarkStart w:id="28" w:name="_Toc15396603"/>
      <w:r>
        <w:rPr>
          <w:rFonts w:hint="eastAsia" w:ascii="黑体" w:hAnsi="黑体" w:eastAsia="黑体"/>
          <w:color w:val="auto"/>
          <w:sz w:val="32"/>
          <w:szCs w:val="32"/>
          <w:highlight w:val="none"/>
        </w:rPr>
        <w:t>收</w:t>
      </w:r>
      <w:r>
        <w:rPr>
          <w:rStyle w:val="27"/>
          <w:rFonts w:hint="eastAsia" w:ascii="黑体" w:hAnsi="黑体" w:eastAsia="黑体"/>
          <w:b w:val="0"/>
          <w:color w:val="auto"/>
          <w:highlight w:val="none"/>
        </w:rPr>
        <w:t>入支出决算总体情况说明</w:t>
      </w:r>
      <w:bookmarkEnd w:id="26"/>
      <w:bookmarkEnd w:id="27"/>
      <w:bookmarkEnd w:id="28"/>
    </w:p>
    <w:p>
      <w:pPr>
        <w:spacing w:line="600" w:lineRule="exact"/>
        <w:ind w:firstLine="640" w:firstLineChars="200"/>
        <w:rPr>
          <w:rFonts w:hint="eastAsia" w:ascii="仿宋" w:hAnsi="仿宋" w:eastAsia="仿宋"/>
          <w:color w:val="auto"/>
          <w:sz w:val="32"/>
          <w:szCs w:val="32"/>
          <w:highlight w:val="none"/>
          <w:lang w:eastAsia="zh-CN"/>
        </w:rPr>
      </w:pPr>
      <w:r>
        <w:rPr>
          <w:rFonts w:hint="eastAsia"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年度收、支总计</w:t>
      </w:r>
      <w:r>
        <w:rPr>
          <w:rFonts w:hint="eastAsia" w:ascii="仿宋" w:hAnsi="仿宋" w:eastAsia="仿宋"/>
          <w:color w:val="auto"/>
          <w:sz w:val="32"/>
          <w:szCs w:val="32"/>
          <w:highlight w:val="none"/>
          <w:lang w:val="en-US" w:eastAsia="zh-CN"/>
        </w:rPr>
        <w:t>7991.93</w:t>
      </w:r>
      <w:r>
        <w:rPr>
          <w:rFonts w:hint="eastAsia" w:ascii="仿宋" w:hAnsi="仿宋" w:eastAsia="仿宋"/>
          <w:color w:val="auto"/>
          <w:sz w:val="32"/>
          <w:szCs w:val="32"/>
          <w:highlight w:val="none"/>
        </w:rPr>
        <w:t>万元。与20</w:t>
      </w:r>
      <w:r>
        <w:rPr>
          <w:rFonts w:hint="eastAsia" w:ascii="仿宋" w:hAnsi="仿宋" w:eastAsia="仿宋"/>
          <w:color w:val="auto"/>
          <w:sz w:val="32"/>
          <w:szCs w:val="32"/>
          <w:highlight w:val="none"/>
          <w:lang w:val="en-US" w:eastAsia="zh-CN"/>
        </w:rPr>
        <w:t>21</w:t>
      </w:r>
      <w:r>
        <w:rPr>
          <w:rFonts w:hint="eastAsia" w:ascii="仿宋" w:hAnsi="仿宋" w:eastAsia="仿宋"/>
          <w:color w:val="auto"/>
          <w:sz w:val="32"/>
          <w:szCs w:val="32"/>
          <w:highlight w:val="none"/>
        </w:rPr>
        <w:t>年相比，收、支总计各增加</w:t>
      </w:r>
      <w:r>
        <w:rPr>
          <w:rFonts w:hint="eastAsia" w:ascii="仿宋" w:hAnsi="仿宋" w:eastAsia="仿宋"/>
          <w:color w:val="auto"/>
          <w:sz w:val="32"/>
          <w:szCs w:val="32"/>
          <w:highlight w:val="none"/>
          <w:lang w:val="en-US" w:eastAsia="zh-CN"/>
        </w:rPr>
        <w:t>1968.93</w:t>
      </w:r>
      <w:r>
        <w:rPr>
          <w:rFonts w:hint="eastAsia" w:ascii="仿宋" w:hAnsi="仿宋" w:eastAsia="仿宋"/>
          <w:color w:val="auto"/>
          <w:sz w:val="32"/>
          <w:szCs w:val="32"/>
          <w:highlight w:val="none"/>
        </w:rPr>
        <w:t>万元，增长</w:t>
      </w:r>
      <w:r>
        <w:rPr>
          <w:rFonts w:hint="eastAsia" w:ascii="仿宋" w:hAnsi="仿宋" w:eastAsia="仿宋"/>
          <w:color w:val="auto"/>
          <w:sz w:val="32"/>
          <w:szCs w:val="32"/>
          <w:highlight w:val="none"/>
          <w:lang w:val="en-US" w:eastAsia="zh-CN"/>
        </w:rPr>
        <w:t>32.69</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。主要变动原因是</w:t>
      </w:r>
      <w:r>
        <w:rPr>
          <w:rFonts w:hint="eastAsia" w:ascii="仿宋" w:hAnsi="仿宋" w:eastAsia="仿宋"/>
          <w:color w:val="auto"/>
          <w:sz w:val="32"/>
          <w:szCs w:val="32"/>
          <w:highlight w:val="none"/>
          <w:lang w:eastAsia="zh-CN"/>
        </w:rPr>
        <w:t>其他地方自行试点项目政府性基金收入增加。</w:t>
      </w:r>
    </w:p>
    <w:p>
      <w:pPr>
        <w:jc w:val="both"/>
        <w:rPr>
          <w:rFonts w:hint="eastAsia" w:ascii="仿宋_GB2312" w:eastAsia="仿宋_GB2312" w:cs="仿宋_GB2312"/>
          <w:kern w:val="0"/>
          <w:sz w:val="32"/>
          <w:szCs w:val="32"/>
          <w:lang w:eastAsia="zh-CN"/>
        </w:rPr>
      </w:pPr>
    </w:p>
    <w:p>
      <w:pPr>
        <w:spacing w:line="560" w:lineRule="exact"/>
        <w:ind w:firstLine="562" w:firstLineChars="200"/>
        <w:jc w:val="center"/>
        <w:rPr>
          <w:rFonts w:hint="eastAsia" w:ascii="仿宋_GB2312" w:hAnsi="仿宋" w:eastAsia="仿宋_GB2312" w:cs="Times New Roman"/>
          <w:color w:val="000000"/>
          <w:sz w:val="32"/>
          <w:szCs w:val="32"/>
        </w:rPr>
      </w:pPr>
      <w:r>
        <w:rPr>
          <w:rFonts w:hint="eastAsia" w:ascii="仿宋_GB2312" w:hAnsi="仿宋" w:eastAsia="仿宋_GB2312"/>
          <w:b/>
          <w:color w:val="000000"/>
          <w:sz w:val="28"/>
          <w:szCs w:val="28"/>
        </w:rPr>
        <w:t>图1  收支决算总计变动情况图</w:t>
      </w:r>
      <w:r>
        <w:rPr>
          <w:rFonts w:hint="eastAsia" w:ascii="仿宋_GB2312" w:hAnsi="仿宋" w:eastAsia="仿宋_GB2312"/>
          <w:b/>
          <w:color w:val="000000"/>
          <w:sz w:val="28"/>
          <w:szCs w:val="28"/>
        </w:rPr>
        <w:pict>
          <v:shape id="图表 2" o:spid="_x0000_s1026" o:spt="75" type="#_x0000_t75" style="position:absolute;left:0pt;margin-left:13.2pt;margin-top:2.9pt;height:237.7pt;width:404.75pt;mso-wrap-distance-bottom:0pt;mso-wrap-distance-top:0pt;z-index:251659264;mso-width-relative:page;mso-height-relative:page;" o:ole="t" filled="f" o:preferrelative="t" stroked="f" coordsize="21600,21600" o:gfxdata="UEsDBAoAAAAAAIdO4kAAAAAAAAAAAAAAAAAEAAAAZHJzL1BLAwQUAAAACACHTuJAM0gSZdkAAAAL&#10;AQAADwAAAGRycy9kb3ducmV2LnhtbE2PzU7DMBCE70i8g7VIXFBrt2rJD3F6qMQRpLZAr068TQLx&#10;OordNrw9ywluO7uj2W+KzeR6ccExdJ40LOYKBFLtbUeNhrfD8ywFEaIha3pPqOEbA2zK25vC5NZf&#10;aYeXfWwEh1DIjYY2xiGXMtQtOhPmfkDi28mPzkSWYyPtaK4c7nq5VOpROtMRf2jNgNsW66/92Wmo&#10;nEs+M3p5X06n42782D7QVL1qfX+3UE8gIk7xzwy/+IwOJTNV/kw2iJ61SrhL5CFNVyDYkaxT3lQa&#10;1lm2AlkW8n+H8gdQSwMEFAAAAAgAh07iQB+IuiALAQAAhgIAAA4AAABkcnMvZTJvRG9jLnhtbK2S&#10;wU7DMAyG70i8Q+Q7Szu6CVVrd6mQOHGBBzCJs0Zqk8jJVnh7wlbQ4DRN3H7b0uf/t7zZvo+DOBBH&#10;610D5aIAQU55bd2ugdeXx7sHEDGh0zh4Rw18UIRte3uzmUJNS9/7QROLDHGxnkIDfUqhljKqnkaM&#10;Cx/I5aHxPGLKJe+kZpwyfRzksijWcvKsA3tFMeZudxrCTORLgN4Yq6jzaj+SSycq04ApR4q9DRHa&#10;o1tjSKVnYyIlMTRQVdUKRPoWeVW5XpU5/1tWZXVfgGw3WO8YQ2/VbAgvMfQn4YjWZQs/qA4Tij3b&#10;K1CqR06Zpeqjmk2pq0n/e2bBtdUN8JMuv24nfyU+r7M+f5/2E1BLAwQKAAAAAACHTuJAAAAAAAAA&#10;AAAAAAAADwAAAGRycy9lbWJlZGRpbmdzL1BLAwQUAAAACACHTuJAdfIt54knAACjMgAAHQAAAGRy&#10;cy9lbWJlZGRpbmdzL1dvcmtib29rMS54bHN47XsFW1vbtjZWXEvxAoXiXqBI8eJQ3L24Bac4pBR3&#10;K27F3SkuxR2KuxUIHiS43rT73LP37tnfD7jPdxZPQubIGO9azLxjjpE1XxRl4RGewSDCIMPAwFDA&#10;+L7k2PeChYEReQIDgwvTCasjamfrbGrrbKDqbm/qpMfiZgN4kd0GS/cFBg7q/9/j/+QMlKoOyXex&#10;Ybe8PMGKqaBzGIKlmKpFIpMsFLuGMbYjLjkR1b88vyzF1RZRoyy+eMpY7WLmYjabM9DLOY8KZ2Uu&#10;y8WEyATPmD7hol8dNS/rM8Ye3skwzoNGvQhXPXB1Y8W56PEtvJg5oTRyXMg+shrxZaU9GdOyKgsh&#10;zi73cCOBIwXomx2SHx9LesR7YzJcRJKoFSnh76jVRcgnaoQ/1lMDJd/6gfmYkKNMo/QMf7AkH7eN&#10;K4spj2qok1aCyotrEbY2J7A1xj8tUz17oKXotYF348K7gXlriIEtp+L8hQ9EW9hdHTIPCXy+8w7r&#10;+5plmXeqlqLpouDMgjFW14IqEsJCLhuXexOFUGTh3mXzat9XtDCFbfxEF3ZebcKsw/JZYz/REAU/&#10;SL+l4Cg+DD3NE4ZLBBQKq7nbpSHmRMJ03tQ2v2taXpt37G3pfJuHDg8LdxlbAj4GMLnw1jjCrX3C&#10;Y/09l7u0LpmR9y+kCNbO6FxkE4qjqL4tItnfQRPq8REeRvFv6Ra/d1aPC003O3gYGDSYSlgDR1OA&#10;EyvLz+cX2aX/TbP/Q+lVOrloBU+Bjbh2+3ZVpGWsSRrrc6ycrQyFax6A/H12DVL1m+waudOLeGEs&#10;tN266FbVvlUFpMR9v8NuvsC5WMZN/qE84YKB2nKWTZ1rfs9oSnYeeFJepk2cHN2K8oqEijnYArkq&#10;S+9n9D09b7mGH5SKCklqsTlOdyZkxDvgCgwL45Fa/YinKceO1K6SKTT83lW9CkAncXop7n62uylb&#10;HS+OCI8uo/ItGUsav0HOFYfan7gxOvBMNiWyIJSpKO8NlvY7tB/59TpINq6Bp18TDm3OU80fgFhq&#10;aiUnIc524yfJZIWGPdy734sEApYTLLgvuFxVtJ3Jkw/IR95Mh8fYFlCt+44TcW7QHT+o5CKumpxD&#10;Gf2fXPcV/Jx4Bv1Am6CVgxgGGdYNwPoH3V3tHK2N7OysfxaXf1Ef4Sf1oSj/fx+lsWMy3WzYvUef&#10;jrBBtpPllJSpYHH/Vivvj9HvUqttnrJvZLa1ZmUvBpi2nj29Muu/vGdPPgRbP+9Gotnz01DEo0Y+&#10;o5lbcUVdSdlORcLuXtARQIhCpaGam57VWCR4zrktu3kjRdnspryWtJHz2eR5ZEoo9vi2PMlEIe/Q&#10;1EDhiIgrHbepO+vkBPwerkJVPerEysoni/ykuMdLTJtFEi9UkLfYmDkl1QnnJlKwRAGmVkcUC/vL&#10;fshJ6usN3qgnUbs1nyFaekaFMyZX6LvCmDFRz4HUsU7blMPLKWybzm9vB+krFk91ErZWB/rjIkra&#10;/5EzgZgRvKLQd5CgnMGCkgHKmb+yJVxJzq6TDb1VYQEY7EXOjNwbJDWeb0OciIKCuF3qYCmWoiqt&#10;adjuI8+I2Jd+YE57ND8G6SmaOCBJ15ix37lUfm/hyBg/73S11CLw7uP1i/BnC8Sb9hJYYQcPtiua&#10;rlfVF9+Cv7lhmiKfM0l76RtRe43NWBSqaGqECH8/xDXgezaRGJw1MfBCjjxOhg6etGv4PqgLP2Dw&#10;pAfUhyq3I/XcCsfCy6B4QZSL9XOvTT0O7od7CoaU21xfy/WuElVY6iAKkcW1r2xwoMhziNLuHGme&#10;sVR1O7VGpPCSS0nlyayH/0GtisRCILy7a9tAal2LCvvnzQNnnhch5ReRVgaImJMDbBHsAxgf9rGk&#10;a2OSXa4+nJUqBAU7SEOUwGahT+s/3yesnzITvDHgxRe9tWcjjmOx1IywPvcbNuxYL7p1bjS8QPun&#10;HJ17cMjFh873MPTx7I/5drIwdDQ1UXF2tLQ1d/qZomlKVTLwItiHTx4N51cOQM/G7evp4T6lB/h8&#10;c+QeYF4aKefz7HDmyiZ/oTmPrI5PGfrlOkP2mFUXizl8QXPU0w50spLbFddkpHJswmTWshqXBguq&#10;Y+MZuBpfX+nFNH/Gid9UjUyUCXuSpW0gGwIX1ixFxCpqD09Bx5o1M1WDycZuvG9N+mOH9lMakp4i&#10;CvaeDJWybZg2ySZTPUZguGQc4ogDfE6FVp6J6oIWev8uv3YfCYIPqm6VKkJ8KJZ4gXLY0PbFgYvD&#10;G2Bz48PAcv12RbvTUJ+7p0MPl4ZrAhZO+y3uqvY0bXX7Yhv/h0pGY6WOTaSMCObAe8qZQa2kRkLY&#10;w/4f5ou6XmHR/WIPt/7Bq4pH0Fn6z7UuDlwCEIJyNhcBBgbjX/Po7A4w/TWBuaojoYts2G0EN5hv&#10;L7uFUgEb7z0pUjGe1SlK4XuoAeZxdvqkHO21PfbL+gTF7ASO8uwmAwR7IwF90pp0TK3dOePD3Kvc&#10;HDJek8iRF6ok+Saf/KqicOKTB5OZcO8qtSLMCIlkTeQbYjk7kKyO5W4u5AAHvpPnkcphMG9TEI5K&#10;y0AZ5tWkeN3hauLUS89k0IzWC2XHVFNilxqoOlq/X1YIiCR1W+rSWWIMqjLbfOpaiekFcSzgYrbA&#10;HeQ55DdM9MPxY1sKxCIviPPf3zxsX0ZxWUnWwqrr/ZjuvuYPWlXj9ZUAg+KRmaNhqXqvqQ3scx3E&#10;S/O0y9c+eng6FX4s8wd9EFvgSXyI2lGOE8WWH3vaUvee2C5+1FCzT/7J96LR+N40fHwES3Xw0mwx&#10;qk/9oDb1t34i+niq5++OksZJXtDmpFUsCwvhEczJ+Zowq3e2jeGil6wvuHGKvLVzcVumiEAxz3um&#10;2olQWMfkBBlak/pQUkD/scO9tfwGSCAhd6KNqAh5dxNw7PvCES12raCvr12ofT0LeWEmXIemOba8&#10;SBTxPWikKKJNxWYAnyzM+ljxSVPy5KepJdvAIYTMAyxO86/IQYVRgAoAWsxanPdRPqluM3Ft1SVi&#10;wvO2whmmDgMw/lH21jLD85G7HgBnY/akEqcek+TkwKFRo664z86qzxM58PVo6vvTHyhoCZamqoZ9&#10;REwxDKgJ44lRPKfZGxyI0Y3r2HmeVa3d5wOJazWiku3LaF8w9PhDj4ePL2MFoT3ifzIt8Lip/xra&#10;WwoQ/fzC9muFdLYwtTFl/fX86mfCHmiNRZG8ftb28kQoHCQfdwCSrLGqW5Cr1tux1XltqRQ1Gs6x&#10;0ctBNj9q6yR6iIOCoqTIKhWMhoSgakUdTQccSchWzn1A4/ekweVzmDssRhJebqXKOBIA+hxde15s&#10;Tmx5opxHshH455G2u2TtefJgaEpNFG6sEoO97ccv/cUsg+lkHfoyDdcNVnweW2UtZHt5OsjmCozQ&#10;PtxpDgJKlHFg0V86+JryBJgb9+JSrTNGMVBI9q1xZ8VHWH3VksaW9mYVR2loFSSLg/EcA16fb9VH&#10;3R02XgoG0CvTTwkLXwtf9yaE9AbGpbwNTt5RBpNSLJwYZkeTYp0I7Ho+Q0HBeuOj9ngdfyiLV6tG&#10;qNTYO1O5OAkM0DPEluc6S+Mnjo+b2Y/wcCo4q4BVLf9xU+ZTs8p0bwmDCqdpOdpzNj9nc3RB/GQG&#10;ZouctM2zbMVspJPkgVuD54hzqj1g9ssS0PtJe/1sAJ22G8bgSQSeV+vKws4Mcwvi1hUItU1teXda&#10;B1/fz0hmYgC1acHC1mW7hJnCWOIy/dglp212gS6NVVERw/RDEX0vU/y+FbOIK9Eq/Ec4ZSrpvQGt&#10;wD66j+xgShmJNDckqtC8FEQbQxP+sSC4KvZcszOxb9I0fA+SRJ8iqo5vbuaxKjIFTvSFPL0cH3cH&#10;7jMVyPh5Gh9VwEPsS5KWJsRtN2BIe9tD9y1kgLuCzGe3Fw338TYqU/DxEI0b+2L803hYBdnjydlJ&#10;mGRm691DFnxb13i/P5b0pwBXDHJPbi0460nfquQNHCBHmGF4sKmv0fGh/XJi1ZMWLtGpgMUel2Nb&#10;p2hsguPBs/KeD9iQIqrI5IrekCf8JuFgdjD6N7XXiTjr65wRS3GQopDmkO8x1mAWmbKpiwIiC1qH&#10;xoPeuWx3v2zVbOQCTY89otT3B5rLpG9LG8hiP3J09E40i7boiaVREMXGqEmh5XjHCuubsXyKtmLk&#10;Cqpv1ZPQKwGvvyRBIYFTQrqmyFcnrPhSJBYytIVNPYV+BRtbFbb5vhced5bgKTup4WCLT3CA/bzu&#10;dqX+y10NEcElS6Hcmm4JR2kalkyk4Fe488ZxtuGxwwGk0ZxcVeShKJ/pTm3Zdj+Rs3sGFR5FI30u&#10;l7u0+VTmnMmCUC/MKycTBqekkL8UM8SYpHXOlzT+qlPbVHiOuVVeyqPYbZujJe4wsr0rxAlywBpy&#10;/mYJqJjtaZGy8q2SUV1nii/Ap+D7w6N+1uzhVn3FEBo9Yrx6UMddd9nY6sDCxmWS4ptojlAsf0Ff&#10;NAvhdTJ0Bj7vy+6tD0xh6zkLA2y+AWE8E1xk5qfGlBsi4ew8rbNeW1RPA/al3Ihw7a2nuuRXURUK&#10;BijQIDrmZfm2SY1uyFQEG9MSvJjciMk5qWU9csXOFfMSN718tF8Aq/7+r5LljCZFsl+Tq4pMXFoj&#10;p/j568/rGI67VDYULo2pfO2EK4zX8sWNRdoujlwt9EMh7PiKovS8mH+rKMNcgxZiY+ahx1aGWtjZ&#10;HJENh59sy1hunVignpi4QMRuE8M2OEKT9TLHMylYKThsTzXHPOskv9GWVdlqXCWLzsjwu4XeHS3+&#10;9sjrOWZreDm5vC9FrksnqakYdMkwpqRA9HrXqyQTRb636QCciDVSzRfubetjOUxEBNVBYmlIumHy&#10;5YgoMUmen6lIDZjb38HLfQ20sP2Kge0PZG7k6h9sj3hOtSzPThbl8GKkluQlw8S1huKVLmOawtfr&#10;647BWDmKZT8e/gsJ50E7SroqiZJ8OMKnsBVuVu6conB21LIUOlOrysYMJrNezIXWdOSSnGFK40rv&#10;Xo2taw/KvrnRIYLf0KkyQy7Eic3GiaScfj/yRXu59oCYN+ir3qXzSzxeUU4CgUllvOnXywxmI2x2&#10;8LJV/AZx3JojouiHEwfHjc6ssrae5R9kt/2rZYW/DV3xNoGJiD+J2LxKFpd7pR9vmDffU7jMB0Lj&#10;D1jQSvHPuhlpXMxriBfo5CVFzyiB+C07Tnd+d/Mpn4qZaTdIamerHNfDjiJrGUpXpndmWL+Ej1wT&#10;5vxuHqvMVbt7sfqPPUkXMNPQCNqTGEOrBeEfleJnL+1kYWrq7MT669evchGuKue0+AK71TX/0Xdd&#10;31szFtedydSoKOPie7L8JJc5E0VYCMKz4OWzWXOROhNqwc+4LUi3ZGjN+83t3kGYqpY0boGirN+C&#10;T2Wmwo847va3LyaZJRaw9ePk7VPWCYpP9B5Oum7opuJs6V8jU9qnr88QNp56632tpV3AjXV8T5zl&#10;YfS+6KItITR2gXSPD4iDINtOG75B0Slzr4A+zlmanVeY4Tk4gi02Hkl4XKFD83p09jX8qD4y/YLJ&#10;laBuPMoF5KvKw8iOksFwDEUz0sL44Hfipx9jWufkg2mbTxiFYcWmbP0ipBi6MGu/6CWujxkiDFxv&#10;iB08p7pT2nD0mVlsMvHSKMzHcAe/o2iSVE/l6qIXNBbqPkEzvZ35mNyf6pXYHe1V1o0jkvEtP6Hb&#10;TEC3Z62iek3gi/2g2Vo0kvUjDH4xbn3jZievhq5jGK+GvuN4//WaMWdNgxXi9/FhR/6dcFv8USPC&#10;J1UEgbucoMXQyTo3IvfdkTRGJFtHPieTzC1vDxhS0laU+pC0HKrgp3ahu8P48HiS0nsBKojPNTCX&#10;nI1AlG17cN/Hxfnbp3oFtyiCNDI3ej4GrRw+Z1W4lXSmydSNR3L+DHxZI53mdSfv843gaBPJK5S9&#10;H4uazUtj/u0kW+kn1lVkWwDvPNY5ZVacvRKyzx5/nTPV/KSd2CHRbGEORgN6i2mKhAh7pHNIDLHV&#10;BoO5f22B7Vosn2H4zlgJ/g1mwFMU/iuECGxQC8+uoCKEKYYqthjpAmtYRAC150tXQ2+sIf1nJX8i&#10;a2fkug9K2LtzGULskxmlfoH78Maewwb/+B0PI97rkzIODEy4PAwMPpSXJnbGio529k7QDuaDjZGt&#10;oSWAxdXGbDjNJlyvT6tve6V139sVXH7YTdN7UG4wY4XruXqoZlBdp+MZovKD5pmyykuCeS/72WLq&#10;YmULNhJ/pqwXhkXkxOK1ymUJiQo2uLTiwVgSDLaySrhFqPMBlG+lv9Ri8/rO9GexP64mQ9L4tpf4&#10;POvqWI2ytwUhLY9jw2m8TkdkBT880vZ5+EG67c3N4Kmrpa9gFu43d2FHfF6FnwbVlnC519UEA9N1&#10;GiRrsVqdwnYmXBRDTXG7gRDB7QdIAd7pyiVpb2pSyanSiG6qwfbSkQsPdxncEY3l9zZI0DI4feh1&#10;AYL87lKl1O6KfnJFQ9nerPj0TXw77YGJzJWPlPM7/6MdL7nZ7cW664zSdlHed0KCBnKO00/r85Ak&#10;QM3sOjYZJyc2NUnn9bn3qdx2TRGWQGEvukMO/ZfZtuMWxXFHI+pN+vP7lNYg3Blk6/pBAshyfm43&#10;uwT2ZBPlwyN1UIJBoILe5fx2+xMnPvHw10mHC1U9vR6Jd3WhhJeVOMaNlcuMxWENDxjZWkp6/sMN&#10;SXaJTrJY0oLxC8c95rzRHS5qnD/KdycXJuBnVEK/rH4PFCghMHp5FN1faaNgCsGoSmadC0YxvTn8&#10;VifqLgrofwWY+4aIFDVw2IlYjk1yT8gFeO/n17fpYqgjZT3Vk6yy+aeFr5xYF6iHwPUXk45qBDaJ&#10;IzoJV2VHh7Fjc2W6xt/Hen95H17SlqBOdpDUSDTSsAsRn8ftHXQ8VIzzx5jrj3HJb2PT6SS8afED&#10;ij+v85tEOkWM4Qa6/xJq6rVjRk/fJg704vPZibhKCLoQEb0QVVgS1uD2031mMikaUyJI2D9oQ0/H&#10;xTPHhK/HVymQ08LZFfi8KxDjuX1lh+Vhp0tXwVglRV+lITzScwD+Igug1DolIrUMou4UiuF69X4w&#10;RLzvfGnUo8YJiIQy/XBW8phg3+XrU1Mo9FWAykdGzMZCjHPubRvpO/XUO3W+i3tY8v5eB854ZsmT&#10;8MgjqT3jKppVlGG1rbojroRV6GlmMq87kdCuou2QUkcc5NwtWFtvzDptwr8v8hgvMidfg7RdQury&#10;vatK181P1l9PBh2kSKrMe3Vds63GTPVtGg6Edx3q1ky/LBgJ2uIG9ItSQmwCMMh7V4061AiWMblS&#10;o+S3srx3A/ZRuJ/v2AhWlpkKHte4VQbOovs0g5TOY0bq3UbmJJTJmy8MB+LFgHKZM51HU4arB+62&#10;528BUyJcvxB/EsRL0cRR/N6D0mCy4Cu2why3Z0Zcic4ZI+WMAG9U6B6ldkG/10qWYBuJGKhZ1Fuq&#10;naOF0TBAcPYKjRI0TtwuMj5nkMgYFdK2jS8mUg4PKmnRytQ9eua7Ht3P5u8GuNusMbG2SfeyZEi2&#10;h4jYed918LIsUHXmZ2LirtC3Kb2sUpqo899xBRkxY7XpMs71K3Xbb5TV59pM6aEhlgWYkBW2j39A&#10;gRcDLjMbXo2fP+pzIFpxYBJnPhNN3HMpERRr309gazkBYc2G+y683xlgcy6xjdoTPWu2Q+kCtjyA&#10;Ul4pkqC3EgWSTR+qeQf7jEFBZo/a28zQpxBFDQKzND7cqpJnr3rKEj5cG/hU/jTD7y+uEngXL1bc&#10;YN+36XQeR63er/xCgScK9JkmVYSiPEJRmoFuNiOEhRiB50SBsNN6P719od4Tg0JlRPBfIYQzJWC9&#10;Yqxxg3YadL74oFfTrW2cKRfzmV0PLycyS64EDjEWpfJy9D7rH8KRKzxM5GB12RXoubvE6fD6+Byh&#10;mWdmUI0p34u4gtdryGcD9W855leo78dyn+h/Xrof6fIEStatbHPzjjpdtTLcq0zkdF24nzzGguOK&#10;Ir2+DqUuYZELxl6p4tXfLdF4k83zlY7ZXrOCnxd735tHHdzfgQevjg7B3g3mpfVB7gWsIMEWb8OK&#10;/duXAhzWYO1tP4JCEb6Clh6JtrwVJHfE+4tEQQFVnVis2ZPbMAWFma07glg+6sybBi6O16m4GVip&#10;4sNjc76uzcyWj9PA9ow0gu8cd0KsHu+6U7682Tdq7lcY+daB5fV+7ct8w0yQmKFxm2Vfbpp9Fwry&#10;R39394QYVwnV4bAypiMTqiPdlEupsJa5wVN58VMyOYhPpbg+wNS94KW7Qq670AQla111C0dMC7kc&#10;5EH9l9uoxKlgDOjeD9+9Kn5rmWDgtojzaFt7s0c9wRVIdUQw0TJW1/8TWpfiSLrn+OAu1ELsTCM7&#10;VEoherONTSeIs+r20+37twVdhpf7862Gl33S8/0nGDjXBvh4EGPGsbF013J6ocvzLM4HnBMRpaRV&#10;gOmGo/B8B6Bh4DYXWVchLNR9RD3h8n1Yy6o8xKdeXL8mfktgivKoFS/q0uYHcGV7FY/HSeGq/CNq&#10;cUzqJYLF3TJQUZfCymeUWYEo8LKhN+lQlfO2LOOV7Ay5IpBzugYYWTh2lZJ+7ylrZT62knYxP1Rf&#10;FNWiVytiAiTgJi+q1sybgSzNaozkt2aeS4/IZd+KbaJXzAJ2jKzvkgBd2ltrtKv041o4vI9iqsOW&#10;dSmAqrTNZAHvm/sjnuvkArCyEFXJSdrZVAMNwwybjlZEa4FdqfZGnyXGjFxV4PygVcv5lUAUenPR&#10;ATEhLUmJ+LlraK9YVKiZWM9J3wx9aMS0cbWcVVSyvRPYuP3ASQeDx7gvyZuS+tRbSbU0gFQnkU59&#10;X7Rabke7d7l2MWcll28CZ4bhogyM1xNz21SoOQvY+lBw3tz3eW+00XtQpRRvcCrgwpqt6PajW1X5&#10;POHR3DlZnM3Eve6k14j0mBcpDt422qI2KIxXx6ZtlH4sNthrWKMqYX6O0eiKPM5G4kP+WaOkxtNI&#10;pTms7RCPWfEeD43crhnq0Glj73e006DY81dbb4oN042E0mgdORR6moZx607drZY0CjbbVZxVz4J3&#10;/LJ/8BuWhBjNwtUpCD5c7LR6Kl8UiG0a+oS+Hp6hWLR6rTnOAXa2tS30Vj4LDb6DnuHOjHFIKOvu&#10;dvI1YEPBJ7iKWmhDf9iurtohc8I4rmWTj9poSSGY8DIqOHQjsoxG2+bdXYNC/RKHAkNCFTXWhn6p&#10;IdTVEMlYofJVlTUP/TIj5SkH+A/Q5PDboNTTxYa4TAdWkPlSVXzEbXjzccl7s5ZbcXihjuRPTh0g&#10;TnkmPpXvBfPJRu+875oUi1uvTq1R6lN2mLHqmGM73gKNFwjKD5Y6Gi1diwvaZWvVxIQA3ToYgMvQ&#10;vWyl8WgLdVWCk0sBEwheBvUM3v53L6xcQRosWTOA3fYRjnpFMT9FHWkstCsA6XQHYgCgFXIxBEOX&#10;guvmjy6BpCV9Dn+C+IMD6BlvIAbJ3Np7v3rcRYet7Zt9yj9qKMlzwLGLkY7qw7+7AkQ72jrIIPn/&#10;Fvm5tcNuF6XrfzcePyFZ6IHBGH8A5lC68VXpqf89vOTv4XWldzXZTcECCH+5huhTEq69smCjuePX&#10;7+xNRD4Y4C7vbu8mc7YbQpsNDgOeDVNocyKg8g1a+c3a7CuTl1gA3Khz0cZzwwSYXHGLASOj1lwF&#10;0B4DZH0ZNuD6VEduW1xnX2jgOhmyaxah0R78wOWweZiNQckntDqwJJPKOSRAE5KyrJ/urS13Ntch&#10;tUiZTX4rV8mwCJ4KemAZV8e5N6ohnju4sxbkql/LTbZzezjHbyfQJpdHN3T1YK0iDsTgrQMPE7Q9&#10;R16jBMm/N16OYNB4Q869WvGwQWldB5LjwkTcSQpuvPGXaox16WjNKOMDgHQculayzrdHuiYUwoLX&#10;V9NbbVaABPNMWmzka10qOQro1jkslPlvVjXN9/MW6bKnxc+ssyNl6vefHcniP2t92AvFntwfcI5n&#10;2Md91DZ9sT4t8/pap6tOjLjkivtj6FMtL8BLci3ih1dRt5yK2qlgMLEFA3H94z5P8WOUxLdHNPbi&#10;VdZ3D2++40nm6JBxx+JAXglmx4oBSm2/46bMYRAvj5u4shnQx+leWotpuUMEIr56qc3KmQjORtdC&#10;HxdcdtaRZXSYY14HkUwuktJMGddz80wudVT4UMtb/GbFp2Hmghdu+J4tvyxG+M2avyxe+J5tvyw9&#10;TBdGv6JktQ7yYjX5IVWJNXND1FVuIGMtGx89PeaQHg7y5rQelsTuH8lRpBMyX8+9Cn/YlM1ApJ6M&#10;eTHRGoS91nFiuoTN6Jnj0DpInsIPe928PJZGWAbmoK4ys+te6Tey+9yd0orjyTafyq0adJZOzaX+&#10;4IGlDsCC2HV5HkXmuijg6Tm0E005TV0sgJbBPoddupBeBsGHvXlTIzqGRsBI1ZfwHkwaHoYBjo96&#10;c+37h63Wu3hfRJ3kGjqXZ88wWtTSE/lX9ordgrY05F4RrUgcKJpZ61N/WO+ZlFhqRzs8ccl3G//a&#10;aX2DuCJieuqGJHv8Y7eE8zgyt0qUGGgXtk4qnbl+ZwXOXN7nTOjmzGhvAdbJAye3Brmmm85mFEX3&#10;ZtxzGGvOd6bm06VbwQVnZHk957u5i6nS92/gL00nPjZLMo7zzzY3n5c0Am/ROH3MiDCAMhcatSwk&#10;lvI0FwiHMhWueqfgqUjMR1u7Ez2DoTV386dOcpehI+nAilkdHVOAj1M9Uw5Qljuj6lpgqTr8IX3R&#10;rRdUbzXEfsNtsUGUuhrDPLSzGhRhDvDZ+Ap1bH4NdbyfhjrqTf90VPrpqPDTkfmn48ufjiqcCeP7&#10;95EdRM+JRusD64vt7F8W6W0auvuucLefc1d0GI+wObheqLpjBernDS6+mituAnr20Hpy70Zu2vO/&#10;WirjW9jvVV42+ZIq+0HFF2xRnIrpTKu8/O7LLfQlhrNCbpO3L1ilyBb45fZtcaqsMz8BrWc7ZdpB&#10;OO5GF+bU8gDEsfqSJD+TrbU9A7N1vuc1mZRjEnhAzJWt4NYlm+/z5LIOxYVAyKgLJf3UHV3NLLvs&#10;uUnmhE5+g0GhaklO1ENvhffBmRa/Djf5atympRcEdXt0TNMYv+p1BowX/OIXlfR6la4xR4hr5+Yj&#10;bNzwhbwAVrqx19VWwLVQSZsT8H5iFnh86poBvGc5F2Wv2H5a0X6/YQ6cGizJAN1UZYiMth4vGbTx&#10;8JtqJZHbkU9WkMzR9tGC2m68hZyWpb9mUfm8W/1OtB5SdLIrgNsCxHkwF9RoGTs7mMpo9OaNshWY&#10;bch/dZ+XUUIlKjA+bBpP2weJH2n7/CKVKDNlnmNe98PodfGkCoeTJ02+tnq6dbEHZ5nHVjyrwVBU&#10;kEGf5Hmi+8zJVEYyZ86uwcm+59iD6lHFvoW27w3ZZUhlpzPPD8HJkNpO56xOlG3Gd/gMaVKMH82Z&#10;S+LiZzS9R0pUCBIFWq+3xsDJK5yo6QY1Z8FYwD5hlgyKkQoHGrT2vG6FFTzupR86g5jpPwrbs5qM&#10;41X4qtxucKogSwB8Pp2fWe9CEaZH9zOfPfnDBPR/WV6F6TH9sgiGCRj8WhmM8D2rfq0MeUwXyr9W&#10;hiGtg61fK4NGzVzJr5UBukT8YYk4H2ZVXpm5E1i3Xug7Yepd4N7Gu1czP9esWfQgG2zjrSis9yid&#10;J6m6GHEXB+JpCcwcRGjeglqqBzWv97/eeto0xx2yCKgtvk7JTCfb3xtbq+ZfEK7Wi2w7dPQeWFG+&#10;sGZGDm3WfRkU8ZS4XeWkGQjwZ6wuwx9iPa2ai980ee8i1JkmU8cIEiZvT4Tsw0U4IXnVB0cWjBTG&#10;HkgXHHc4jTY+4v3j3UHVsTdZatD7M9bQO4Q4UHXGv+/CGNs5mv7cRXqR/V9RBnTmYLxiDRT82J71&#10;rMrdYeYefe8MH0XUvIsTaOwWCw+zk/PsI7bsqIs7XNR5L4ofEXXIeznrZJvCclGM2vZNU2sfvQdH&#10;BNZCH61oCL0Vf8g+Em4/Cb+0+LXJDgw+8+lQ2Gfuz7OIGXLLHx2eAtakF5RXTCz2dUVf1Xmhhc73&#10;89UScH9VGr7OoXfoukJihKX11zV+EokCIgR/NOR4Oo5DfxUMcMnfg/1kXCjs64LfpxQObMEMrwZi&#10;ng12F+XycbZNvgJ/Zr56EQlujc+pslksTD9/5fVAWKGhwOo9rbhnq/FcMQNVvhEWZBVXcW87dC4P&#10;BCdhKvMrNTGrDzfFG1xJfGoQ2nR9K81cxrFsEQok4W9kZV8TQRAkJg1N+1w/32VcJeb+9kdJ9FLg&#10;iZwI6HP35+hL8H3NNcuefVYk/QM1jYMkFeQTFWfy+KbZW37YU8HL68v+f1Z9HH4BBEZDuXgP5SL2&#10;X7loaG//Xyr+JOEfR1psh/wGG3bgEeMhn1ibSsG0VQBDHx5DqcccXrx2A4n5hGaDi4lCToL5eies&#10;5ep7hRYMxhPCd0/j87+hZJqByO8h7oBX8+U2yqLBvc3hGEj0st8sM0nqB+emT2cH6GUpGRIZ90lN&#10;AEgxcpuXdkZkXk9gMbr9mXSHNUM0I3ijmvy/hsLHktIHYFkHfA7EuxQ35EzzbNXyExWUmcx8XofM&#10;EnSX68Fhkr7R0FuRAtLn9jrxaCxB1gytKa6WYMzVGRSSQCL39h3oUffDa2FFzdb5uILgx5eMuqLQ&#10;85YRTYU9IaAaB0HoWTe6ak1tIzuFjNJGA2KEINX40viCBFOjEg5xWvg0A+FWdGVKHYulsY44+ulj&#10;e992wW1iUPunuJXphcrVhagRLF4ACR2PLQD9DebTSJRERObuIaNyOB84/gP4enRS26AaOtjK1Plt&#10;a7t3cSvuj1xgLn01WWA59kUJH0uoeBHcZu1hqw9dMJEN81yviTZD/SevVYiSBdlN0+2IIw9xrvPC&#10;5fIsgtCdzjXqP+3M43xrvEKAshgIfeD+lcXGH5yc7Wz+S+T/pTEMTFr0iJU/G6H4ZUCbaL8gyLyS&#10;lPqNavq88/jbgppEqlFkmhiqBZndZm72+3nXawchzG39Ns9Z+KR4SOvrJ7kovsJEhqZ2o0+8BMi+&#10;48ORa79c7CBW+ybu3sBoZ3dVU5PjmKVBJuZ/8qTFnw1E6Omg1HQuHS737s2+M8mP3dE5Fz1WVeOe&#10;3HiUJBzHoJ5Nv2mLu54ORtbMLmDMROj0aGbkEOEH2QcMA+ECUVa0q/HcD5O5VOKAzOngp9pZgLjl&#10;l9XU/mqlgiZYtwrIvefJIu+1SUuE2vjFS9PECvN9omm3KD0wr9nartdkJJQD6eR+BEonTGD0AYn6&#10;hFCp+0oWPzSe/luIBQvHDBVd/bMS/8+5+uPVP+jyFWX/DvB3bfFfAX6qjf+iNP498O9Czb8G6iD+&#10;Epj8P2Sbv+P8Lt77EykK+s8Gv0n5fg/+XYn2Z/Ajyq/g/9Cl/Y7wuwbrTwRJ6JRDT+/0b0XW76G/&#10;i2r+DK2Cqrmgob9LbH4H+H2v9U+ARahI519/+n/svP6O8vvO2J8oTtCNsn93aH/bJ/sd4+993Z8I&#10;MDDXtH/B+N8u7/fwv5fiv4YHMPwl/F+F+ffovy+Bf42WZf5L9J8LoqLsEyjFYGDQoT9PoCwNZv05&#10;+h9QSwMECgAAAAAAh07iQAAAAAAAAAAAAAAAAAsAAABkcnMvY2hhcnRzL1BLAwQUAAAACACHTuJA&#10;hgJsrm4GAADFGAAAFQAAAGRycy9jaGFydHMvY2hhcnQxLnhtbO1ZS2/cNhC+F+h/UAXfCnul9a7j&#10;XUQO1lo4CGonRuykQG9cidplTZEKSfl16qXoH+i1lwI991IUaPt7EqD/ojMktZbWjyRtDbRBYsAW&#10;X8N5zzfMw0fnJQ9OqdJMiiSMN6IwoCKTORPzJHxxvLe+HQbaEJETLgVNwguqw0c7n37yMBtnC6LM&#10;UUUyGgARocdZEi6Mqca9ns4WtCR6Q1ZUwFohVUkMDNW8lytyBsRL3utH0VbPEgk9AfI3CJSEiea8&#10;epfzsihYRqcyq0sqjONCUU4MaEAvWKXDHRAuJ4bGo2gQnBKehFHYw0lOxNxNXC7W06duUsla5DRP&#10;pRKgxtb+MhtPuKFKAKlUCgO3eTnLd9JUSdRJXa1nsqyAuRnjzFxYdoFBoJ0uJMgRPKevaqaoTsIs&#10;HjSKgM9rqihZpqSWhdkAij2nhcYaSPZBb7vX9/YAYePBWJsLTp1AcdRHaXvLey0Le4TzGclOUDet&#10;zcutV+t4cFUZeMqaHz8MM5ziBycXsjZW3RL8EoYtlcI11aHaeUjGQu4xzmEbGXPRmeg1M7QoaGb2&#10;NRLrNSfhpnO8RrFsgcdmMr84VI6ONkcosR1UuOjvymnx3O4B0nYK/1qajgoQR6L4p5GC1EYe42BK&#10;OTU078hQcWkmipIVcWdEpRhSOA3fU6bcqUxy52lzcLUKYsdP81qDd9HcLZ4SdZFKLjsuCFJTUFc2&#10;Zvl5hwWpcurJe992atFGPacFnih2jhaUmviztd21GGWzs7CeEghu3FGZFFzfOLqx46IyAVyFAYM7&#10;TnfefP/r629/evPNH3/++AMSObVqqkBGGFwRcwN7M3x6Vrz2teQsR2OjRbSaz1LuOR/sbce7U7wY&#10;DNLZ9p4uwQR4mnlSPKVziLRT7/NeMfn+jGuUJrembIkLrC4XM2LtdpP+Jmv98dpkbfPtSrSBg4rt&#10;KrEfxaPXv/3S1d/Vttjruh/1o2vb7lCzZxkSHEon6vIGywPnuy3OYdPS/C6ppzKnO48ppD7CrYA2&#10;1dvZVRe5Rbp4MxpsxP23STeMNocbK7tAuCuO3KDxISsVCu/8fzUMvLu2wsDP3B4G6T8Kg59ff/f7&#10;PYVBGg2jwccwuL8wSDGA0/sOg8HW5sbowdvCYLA5HG3ENpd0cuk7xsEyX+mFPNuncyryL+hKhYWV&#10;lwRAYQv44O6UmKek7OZGnD+i6sb5Q6oyhDyrdHbr2YzTI3bZJgWRumRtTqovWW4WPtMOfR4m5098&#10;GQWwAinxQX/b1ZzOwrA/3Bpt2Zpgq+iyokK2m9jK39nepqMzwqG6YjKUigHrFhI6LkomDsi5J9va&#10;2K4JSz4PpYeBM8dgSb6W6phlJweA6Bw9AWDaLzJx+6KBQ1B+lgQFPTfH0h28EQkFZ0k4Ah2EQUaq&#10;JCwA1sJnWeVJqMU8DAifA8zPjIKasVIzO6V1OsIfu4nX5YH0mo+HUWTFBIxVl8+Kwkmz3UxjHXYV&#10;+npNrpQ2U6K9WW25RkHI2AJoV8Rd3b4VuDno5yBboKRJwvUtYAj/QZdSZXsM7tgn2hwSBb0ETGJd&#10;fwa/Ci5BM5RzwPdMu3lAyFJdhsGZQlXpVzVRFDQkMph2OvKD1MDY1gcQ+26QGGCLkISuPQj0JVgD&#10;eZtZZpj9XSehtT60VYqdQEsl5JH9CoMTaBbgJvBvOEI0BXeEdcRSd9lqOMKfa7baaozStdVmM32X&#10;rbAbEoG5qGgB7V0Sfl6KdW6cuShZWaDELWR6ZSHTuAD3OABtP7v42ZyjSaENgM5ETzxEBfGvotiv&#10;UR9RiKu/osqHAI58lsCboHmY8Ql4uJtDL29mwVU1baCqc2HADvKg5obtn3KIMXfGOjcko2W2gOx1&#10;Q9po89fKBv9S2vBw36aNx4rl6AYWgTYhz8WHG+eg/OuCQ3XbK01wBTmT0GNOiHtZQ6HZZ+KEQpbz&#10;MO4/m3JbfevHhPgxIa4+KNyWENs4xSbLmxOiXdql5oxSnwRnbmATMbTfTTZrMknLHd+rZ4Yo7bxi&#10;WCRpM7D9WgKWJgPf/6POdWzwERP8jzEBOBhfOhW62kumnwnuWxWf5XOmq11AXCd64vEB9A6u5mNn&#10;MsWXG0R/AN1XynvzztbEQef1qIOE9+w/Gz8rIOxDrsL4CNeOKMBR74d9HfC7Ge1BE4Ov4nxKDAkU&#10;vE0moXqSu/4dId2LCl/fuxZrnwEg6V+O7f8+7Pw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EQAAAGRycy9jaGFydHMvX3JlbHMvUEsDBBQAAAAIAIdO4kAjLTpWvwAAAC8BAAAgAAAAZHJzL2No&#10;YXJ0cy9fcmVscy9jaGFydDEueG1sLnJlbHOFjz1rAzEQRPtA/oPYPto7FyGE07kJAbfBJrUs7X1w&#10;J63QKub8760UgRgCKYdh3mO6/RZWdaEsM0cDrW5AUXTs5zgaOB3fn15ASbHR25UjGbiSwL5/fOg+&#10;aLWljmSak6hKiWJgKiW9IoqbKFjRnCjWZuAcbKkxj5isW+xIuGuaZ8y/GdDfMdXBG8gH34I6XlM1&#10;/8/mYZgdvbH7ChTLH4ofe0XaPFIxoDVSOJP//iv4yXk5My+t3lbZAPsO7272N1BLAwQKAAAAAACH&#10;TuJAAAAAAAAAAAAAAAAACgAAAGRycy9fcmVscy9QSwMEFAAAAAgAh07iQKsWzUazAAAAIgEAABkA&#10;AABkcnMvX3JlbHMvZTJvRG9jLnhtbC5yZWxzhY/NCsIwEITvgu8Q9m7TehCRJr2I0KvUB1jS7Q+2&#10;SchGsW9v0IuC4HF2mG92yuoxT+JOgUdnFRRZDoKsce1oewWX5rTZg+CItsXJWVKwEEOl16vyTBPG&#10;FOJh9CwSxbKCIUZ/kJLNQDNy5jzZ5HQuzBiTDL30aK7Yk9zm+U6GTwboL6aoWwWhbgsQzeJT83+2&#10;67rR0NGZ20w2/qiQZsAQExBDT1HBS/L7WmTpU5C6lF/L9BNQSwMEFAAAAAgAh07iQK1q6YciAQAA&#10;yQIAABMAAABbQ29udGVudF9UeXBlc10ueG1slVJLTwIxEL6b+B+aXg0tcDDGsHBw8ajG4A9o2tlH&#10;6Cudsiz/3mFZLkZETs10+r1mulj1zrIOErbBF3wmppyB18G0vi741+Z18sQZZuWNssFDwQ+AfLW8&#10;v1tsDhGQEdpjwZuc47OUqBtwCkWI4KlTheRUpjLVMiq9VTXI+XT6KHXwGXye5CMHXy5KqNTOZrbu&#10;6frkpLfYc/ZyenjUKriK0bZaZXIqO29+qExCVbUaTNA7R9wCYwJlsAHIzorh5PJXqQQWb5MawwhC&#10;DnawaSM+UOILCsfO5Swj7p22kFoD7EOl/KYcJZYmodQN1eMxE39TXR+LSWpPu6WRDLxn05fETdj7&#10;BN0/ZB2OGxBlwpJgn9BdY4d5KIO+lXw9oM7ccviIy29QSwECFAAUAAAACACHTuJArWrphyIBAADJ&#10;AgAAEwAAAAAAAAABACAAAAB2NAAAW0NvbnRlbnRfVHlwZXNdLnhtbFBLAQIUAAoAAAAAAIdO4kAA&#10;AAAAAAAAAAAAAAAGAAAAAAAAAAAAEAAAABoxAABfcmVscy9QSwECFAAUAAAACACHTuJAihRmPNEA&#10;AACUAQAACwAAAAAAAAABACAAAAA+MQAAX3JlbHMvLnJlbHNQSwECFAAKAAAAAACHTuJAAAAAAAAA&#10;AAAAAAAABAAAAAAAAAAAABAAAAAAAAAAZHJzL1BLAQIUAAoAAAAAAIdO4kAAAAAAAAAAAAAAAAAK&#10;AAAAAAAAAAAAEAAAAGQzAABkcnMvX3JlbHMvUEsBAhQAFAAAAAgAh07iQKsWzUazAAAAIgEAABkA&#10;AAAAAAAAAQAgAAAAjDMAAGRycy9fcmVscy9lMm9Eb2MueG1sLnJlbHNQSwECFAAKAAAAAACHTuJA&#10;AAAAAAAAAAAAAAAACwAAAAAAAAAAABAAAABQKgAAZHJzL2NoYXJ0cy9QSwECFAAKAAAAAACHTuJA&#10;AAAAAAAAAAAAAAAAEQAAAAAAAAAAABAAAAA4MgAAZHJzL2NoYXJ0cy9fcmVscy9QSwECFAAUAAAA&#10;CACHTuJAIy06Vr8AAAAvAQAAIAAAAAAAAAABACAAAABnMgAAZHJzL2NoYXJ0cy9fcmVscy9jaGFy&#10;dDEueG1sLnJlbHNQSwECFAAUAAAACACHTuJAhgJsrm4GAADFGAAAFQAAAAAAAAABACAAAAB5KgAA&#10;ZHJzL2NoYXJ0cy9jaGFydDEueG1sUEsBAhQAFAAAAAgAh07iQDNIEmXZAAAACwEAAA8AAAAAAAAA&#10;AQAgAAAAIgAAAGRycy9kb3ducmV2LnhtbFBLAQIUABQAAAAIAIdO4kAfiLogCwEAAIYCAAAOAAAA&#10;AAAAAAEAIAAAACgBAABkcnMvZTJvRG9jLnhtbFBLAQIUAAoAAAAAAIdO4kAAAAAAAAAAAAAAAAAP&#10;AAAAAAAAAAAAEAAAAF8CAABkcnMvZW1iZWRkaW5ncy9QSwECFAAUAAAACACHTuJAdfIt54knAACj&#10;MgAAHQAAAAAAAAABACAAAACMAgAAZHJzL2VtYmVkZGluZ3MvV29ya2Jvb2sxLnhsc3hQSwUGAAAA&#10;AA4ADgBpAwAAyTUAAAAA&#10;">
            <v:path/>
            <v:fill on="f" focussize="0,0"/>
            <v:stroke on="f"/>
            <v:imagedata r:id="rId11" o:title=""/>
            <o:lock v:ext="edit" aspectratio="f"/>
            <w10:wrap type="topAndBottom"/>
          </v:shape>
          <o:OLEObject Type="Embed" ProgID="Excel.Sheet.8" ShapeID="图表 2" DrawAspect="Content" ObjectID="_1468075725" r:id="rId10">
            <o:LockedField>false</o:LockedField>
          </o:OLEObject>
        </w:pict>
      </w:r>
    </w:p>
    <w:p>
      <w:pPr>
        <w:spacing w:line="600" w:lineRule="exact"/>
        <w:jc w:val="left"/>
        <w:rPr>
          <w:rFonts w:ascii="仿宋_GB2312" w:eastAsia="仿宋_GB2312"/>
          <w:color w:val="auto"/>
          <w:sz w:val="32"/>
          <w:szCs w:val="32"/>
          <w:highlight w:val="none"/>
        </w:rPr>
      </w:pPr>
    </w:p>
    <w:p>
      <w:pPr>
        <w:pStyle w:val="25"/>
        <w:numPr>
          <w:ilvl w:val="0"/>
          <w:numId w:val="2"/>
        </w:numPr>
        <w:spacing w:line="600" w:lineRule="exact"/>
        <w:ind w:firstLineChars="0"/>
        <w:outlineLvl w:val="1"/>
        <w:rPr>
          <w:rStyle w:val="27"/>
          <w:rFonts w:ascii="黑体" w:hAnsi="黑体" w:eastAsia="黑体"/>
          <w:b w:val="0"/>
          <w:color w:val="auto"/>
          <w:highlight w:val="none"/>
        </w:rPr>
      </w:pPr>
      <w:bookmarkStart w:id="29" w:name="_Toc15377206"/>
      <w:bookmarkStart w:id="30" w:name="_Toc18401"/>
      <w:bookmarkStart w:id="31" w:name="_Toc15396604"/>
      <w:r>
        <w:rPr>
          <w:rFonts w:hint="eastAsia" w:ascii="黑体" w:hAnsi="黑体" w:eastAsia="黑体"/>
          <w:color w:val="auto"/>
          <w:sz w:val="32"/>
          <w:szCs w:val="32"/>
          <w:highlight w:val="none"/>
        </w:rPr>
        <w:t>收</w:t>
      </w:r>
      <w:r>
        <w:rPr>
          <w:rStyle w:val="27"/>
          <w:rFonts w:hint="eastAsia" w:ascii="黑体" w:hAnsi="黑体" w:eastAsia="黑体"/>
          <w:b w:val="0"/>
          <w:color w:val="auto"/>
          <w:highlight w:val="none"/>
        </w:rPr>
        <w:t>入决算情况说明</w:t>
      </w:r>
      <w:bookmarkEnd w:id="29"/>
      <w:bookmarkEnd w:id="30"/>
      <w:bookmarkEnd w:id="31"/>
    </w:p>
    <w:p>
      <w:pPr>
        <w:spacing w:line="600" w:lineRule="exact"/>
        <w:ind w:firstLine="640" w:firstLineChars="200"/>
        <w:outlineLvl w:val="1"/>
        <w:rPr>
          <w:rFonts w:hint="eastAsia" w:ascii="仿宋_GB2312" w:eastAsia="仿宋_GB2312" w:cs="仿宋_GB2312"/>
          <w:kern w:val="0"/>
          <w:sz w:val="32"/>
          <w:szCs w:val="32"/>
          <w:lang w:eastAsia="zh-CN"/>
        </w:rPr>
      </w:pPr>
      <w:bookmarkStart w:id="32" w:name="_Toc25556"/>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年本年收入合计</w:t>
      </w:r>
      <w:r>
        <w:rPr>
          <w:rFonts w:hint="eastAsia" w:ascii="仿宋" w:hAnsi="仿宋" w:eastAsia="仿宋"/>
          <w:color w:val="auto"/>
          <w:sz w:val="32"/>
          <w:szCs w:val="32"/>
          <w:highlight w:val="none"/>
          <w:lang w:val="en-US" w:eastAsia="zh-CN"/>
        </w:rPr>
        <w:t>7165.75</w:t>
      </w:r>
      <w:r>
        <w:rPr>
          <w:rFonts w:hint="eastAsia" w:ascii="仿宋" w:hAnsi="仿宋" w:eastAsia="仿宋"/>
          <w:color w:val="auto"/>
          <w:sz w:val="32"/>
          <w:szCs w:val="32"/>
          <w:highlight w:val="none"/>
        </w:rPr>
        <w:t>万元，其中：一般公共预算财政拨款收入</w:t>
      </w:r>
      <w:r>
        <w:rPr>
          <w:rFonts w:hint="eastAsia" w:ascii="仿宋" w:hAnsi="仿宋" w:eastAsia="仿宋"/>
          <w:color w:val="auto"/>
          <w:sz w:val="32"/>
          <w:szCs w:val="32"/>
          <w:highlight w:val="none"/>
          <w:lang w:val="en-US" w:eastAsia="zh-CN"/>
        </w:rPr>
        <w:t>1334.89</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18.63</w:t>
      </w:r>
      <w:r>
        <w:rPr>
          <w:rFonts w:ascii="仿宋" w:hAnsi="仿宋" w:eastAsia="仿宋"/>
          <w:color w:val="auto"/>
          <w:sz w:val="32"/>
          <w:szCs w:val="32"/>
          <w:highlight w:val="none"/>
        </w:rPr>
        <w:t>%</w:t>
      </w:r>
      <w:r>
        <w:rPr>
          <w:rFonts w:hint="eastAsia" w:ascii="仿宋" w:hAnsi="仿宋" w:eastAsia="仿宋"/>
          <w:color w:val="auto"/>
          <w:sz w:val="32"/>
          <w:szCs w:val="32"/>
          <w:highlight w:val="none"/>
        </w:rPr>
        <w:t>；政府性基金预算财政拨款收入</w:t>
      </w:r>
      <w:r>
        <w:rPr>
          <w:rFonts w:hint="eastAsia" w:ascii="仿宋" w:hAnsi="仿宋" w:eastAsia="仿宋"/>
          <w:color w:val="auto"/>
          <w:sz w:val="32"/>
          <w:szCs w:val="32"/>
          <w:highlight w:val="none"/>
          <w:lang w:val="en-US" w:eastAsia="zh-CN"/>
        </w:rPr>
        <w:t>995.82</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13.90</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color w:val="auto"/>
          <w:sz w:val="32"/>
          <w:szCs w:val="32"/>
          <w:highlight w:val="none"/>
          <w:lang w:eastAsia="zh-CN"/>
        </w:rPr>
        <w:t>国有资本经营预算财政拨款收入</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w:t>
      </w:r>
      <w:r>
        <w:rPr>
          <w:rFonts w:ascii="仿宋" w:hAnsi="仿宋" w:eastAsia="仿宋"/>
          <w:color w:val="auto"/>
          <w:sz w:val="32"/>
          <w:szCs w:val="32"/>
          <w:highlight w:val="none"/>
        </w:rPr>
        <w:t>%</w:t>
      </w:r>
      <w:r>
        <w:rPr>
          <w:rFonts w:hint="eastAsia" w:ascii="仿宋" w:hAnsi="仿宋" w:eastAsia="仿宋"/>
          <w:color w:val="auto"/>
          <w:sz w:val="32"/>
          <w:szCs w:val="32"/>
          <w:highlight w:val="none"/>
        </w:rPr>
        <w:t>；上级补助收入</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w:t>
      </w:r>
      <w:r>
        <w:rPr>
          <w:rFonts w:ascii="仿宋" w:hAnsi="仿宋" w:eastAsia="仿宋"/>
          <w:color w:val="auto"/>
          <w:sz w:val="32"/>
          <w:szCs w:val="32"/>
          <w:highlight w:val="none"/>
        </w:rPr>
        <w:t>%</w:t>
      </w:r>
      <w:r>
        <w:rPr>
          <w:rFonts w:hint="eastAsia" w:ascii="仿宋" w:hAnsi="仿宋" w:eastAsia="仿宋"/>
          <w:color w:val="auto"/>
          <w:sz w:val="32"/>
          <w:szCs w:val="32"/>
          <w:highlight w:val="none"/>
        </w:rPr>
        <w:t>；事业收入</w:t>
      </w:r>
      <w:r>
        <w:rPr>
          <w:rFonts w:hint="eastAsia" w:ascii="仿宋" w:hAnsi="仿宋" w:eastAsia="仿宋"/>
          <w:color w:val="auto"/>
          <w:sz w:val="32"/>
          <w:szCs w:val="32"/>
          <w:highlight w:val="none"/>
          <w:lang w:val="en-US" w:eastAsia="zh-CN"/>
        </w:rPr>
        <w:t>4813.68</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67.18</w:t>
      </w:r>
      <w:r>
        <w:rPr>
          <w:rFonts w:ascii="仿宋" w:hAnsi="仿宋" w:eastAsia="仿宋"/>
          <w:color w:val="auto"/>
          <w:sz w:val="32"/>
          <w:szCs w:val="32"/>
          <w:highlight w:val="none"/>
        </w:rPr>
        <w:t>%</w:t>
      </w:r>
      <w:r>
        <w:rPr>
          <w:rFonts w:hint="eastAsia" w:ascii="仿宋" w:hAnsi="仿宋" w:eastAsia="仿宋"/>
          <w:color w:val="auto"/>
          <w:sz w:val="32"/>
          <w:szCs w:val="32"/>
          <w:highlight w:val="none"/>
        </w:rPr>
        <w:t>；经营收入</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w:t>
      </w:r>
      <w:r>
        <w:rPr>
          <w:rFonts w:ascii="仿宋" w:hAnsi="仿宋" w:eastAsia="仿宋"/>
          <w:color w:val="auto"/>
          <w:sz w:val="32"/>
          <w:szCs w:val="32"/>
          <w:highlight w:val="none"/>
        </w:rPr>
        <w:t>%</w:t>
      </w:r>
      <w:r>
        <w:rPr>
          <w:rFonts w:hint="eastAsia" w:ascii="仿宋" w:hAnsi="仿宋" w:eastAsia="仿宋"/>
          <w:color w:val="auto"/>
          <w:sz w:val="32"/>
          <w:szCs w:val="32"/>
          <w:highlight w:val="none"/>
        </w:rPr>
        <w:t>；附属单位上缴收入</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w:t>
      </w:r>
      <w:r>
        <w:rPr>
          <w:rFonts w:ascii="仿宋" w:hAnsi="仿宋" w:eastAsia="仿宋"/>
          <w:color w:val="auto"/>
          <w:sz w:val="32"/>
          <w:szCs w:val="32"/>
          <w:highlight w:val="none"/>
        </w:rPr>
        <w:t>%</w:t>
      </w:r>
      <w:r>
        <w:rPr>
          <w:rFonts w:hint="eastAsia" w:ascii="仿宋" w:hAnsi="仿宋" w:eastAsia="仿宋"/>
          <w:color w:val="auto"/>
          <w:sz w:val="32"/>
          <w:szCs w:val="32"/>
          <w:highlight w:val="none"/>
        </w:rPr>
        <w:t>；其他收入</w:t>
      </w:r>
      <w:r>
        <w:rPr>
          <w:rFonts w:hint="eastAsia" w:ascii="仿宋" w:hAnsi="仿宋" w:eastAsia="仿宋"/>
          <w:color w:val="auto"/>
          <w:sz w:val="32"/>
          <w:szCs w:val="32"/>
          <w:highlight w:val="none"/>
          <w:lang w:val="en-US" w:eastAsia="zh-CN"/>
        </w:rPr>
        <w:t>21.36</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0.30</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bookmarkEnd w:id="32"/>
    </w:p>
    <w:p>
      <w:pPr>
        <w:ind w:firstLine="800" w:firstLineChars="250"/>
        <w:rPr>
          <w:rFonts w:ascii="仿宋_GB2312" w:eastAsia="仿宋_GB2312"/>
          <w:color w:val="auto"/>
          <w:sz w:val="32"/>
          <w:szCs w:val="32"/>
          <w:highlight w:val="none"/>
        </w:rPr>
      </w:pPr>
      <w:r>
        <w:rPr>
          <w:rFonts w:hint="eastAsia" w:ascii="仿宋_GB2312" w:eastAsia="仿宋_GB2312" w:cs="仿宋_GB2312"/>
          <w:kern w:val="0"/>
          <w:sz w:val="32"/>
          <w:szCs w:val="32"/>
          <w:lang w:eastAsia="zh-CN"/>
        </w:rPr>
        <w:drawing>
          <wp:inline distT="0" distB="0" distL="114300" distR="114300">
            <wp:extent cx="4766945" cy="2541270"/>
            <wp:effectExtent l="4445" t="5080" r="10160" b="6350"/>
            <wp:docPr id="11" name="图表 11" descr="7b0a202020202263686172745265734964223a20223230343736313236220a7d0a"/>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pPr>
        <w:pStyle w:val="25"/>
        <w:numPr>
          <w:ilvl w:val="0"/>
          <w:numId w:val="2"/>
        </w:numPr>
        <w:spacing w:line="600" w:lineRule="exact"/>
        <w:ind w:firstLineChars="0"/>
        <w:outlineLvl w:val="1"/>
        <w:rPr>
          <w:rStyle w:val="27"/>
          <w:rFonts w:ascii="黑体" w:hAnsi="黑体" w:eastAsia="黑体"/>
          <w:b w:val="0"/>
          <w:color w:val="auto"/>
          <w:highlight w:val="none"/>
        </w:rPr>
      </w:pPr>
      <w:bookmarkStart w:id="33" w:name="_Toc15396605"/>
      <w:bookmarkStart w:id="34" w:name="_Toc15377207"/>
      <w:bookmarkStart w:id="35" w:name="_Toc19991"/>
      <w:r>
        <w:rPr>
          <w:rFonts w:hint="eastAsia" w:ascii="黑体" w:hAnsi="黑体" w:eastAsia="黑体"/>
          <w:color w:val="auto"/>
          <w:sz w:val="32"/>
          <w:szCs w:val="32"/>
          <w:highlight w:val="none"/>
        </w:rPr>
        <w:t>支</w:t>
      </w:r>
      <w:r>
        <w:rPr>
          <w:rStyle w:val="27"/>
          <w:rFonts w:hint="eastAsia" w:ascii="黑体" w:hAnsi="黑体" w:eastAsia="黑体"/>
          <w:b w:val="0"/>
          <w:color w:val="auto"/>
          <w:highlight w:val="none"/>
        </w:rPr>
        <w:t>出决算情况说明</w:t>
      </w:r>
      <w:bookmarkEnd w:id="33"/>
      <w:bookmarkEnd w:id="34"/>
      <w:bookmarkEnd w:id="35"/>
    </w:p>
    <w:p>
      <w:pPr>
        <w:spacing w:line="600" w:lineRule="exact"/>
        <w:ind w:firstLine="640" w:firstLineChars="200"/>
        <w:outlineLvl w:val="1"/>
        <w:rPr>
          <w:rFonts w:ascii="仿宋" w:hAnsi="仿宋" w:eastAsia="仿宋"/>
          <w:color w:val="auto"/>
          <w:sz w:val="32"/>
          <w:szCs w:val="32"/>
          <w:highlight w:val="none"/>
        </w:rPr>
      </w:pPr>
      <w:bookmarkStart w:id="36" w:name="_Toc27580"/>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年本年支出合计</w:t>
      </w:r>
      <w:r>
        <w:rPr>
          <w:rFonts w:hint="eastAsia" w:ascii="仿宋" w:hAnsi="仿宋" w:eastAsia="仿宋"/>
          <w:color w:val="auto"/>
          <w:sz w:val="32"/>
          <w:szCs w:val="32"/>
          <w:highlight w:val="none"/>
          <w:lang w:val="en-US" w:eastAsia="zh-CN"/>
        </w:rPr>
        <w:t>6105.44</w:t>
      </w:r>
      <w:r>
        <w:rPr>
          <w:rFonts w:hint="eastAsia" w:ascii="仿宋" w:hAnsi="仿宋" w:eastAsia="仿宋"/>
          <w:color w:val="auto"/>
          <w:sz w:val="32"/>
          <w:szCs w:val="32"/>
          <w:highlight w:val="none"/>
        </w:rPr>
        <w:t>万元，其中：基本支出</w:t>
      </w:r>
      <w:r>
        <w:rPr>
          <w:rFonts w:hint="eastAsia" w:ascii="仿宋" w:hAnsi="仿宋" w:eastAsia="仿宋"/>
          <w:color w:val="auto"/>
          <w:sz w:val="32"/>
          <w:szCs w:val="32"/>
          <w:highlight w:val="none"/>
          <w:lang w:val="en-US" w:eastAsia="zh-CN"/>
        </w:rPr>
        <w:t>5576.64</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91.34</w:t>
      </w:r>
      <w:r>
        <w:rPr>
          <w:rFonts w:ascii="仿宋" w:hAnsi="仿宋" w:eastAsia="仿宋"/>
          <w:color w:val="auto"/>
          <w:sz w:val="32"/>
          <w:szCs w:val="32"/>
          <w:highlight w:val="none"/>
        </w:rPr>
        <w:t>%</w:t>
      </w:r>
      <w:r>
        <w:rPr>
          <w:rFonts w:hint="eastAsia" w:ascii="仿宋" w:hAnsi="仿宋" w:eastAsia="仿宋"/>
          <w:color w:val="auto"/>
          <w:sz w:val="32"/>
          <w:szCs w:val="32"/>
          <w:highlight w:val="none"/>
        </w:rPr>
        <w:t>；项目支出</w:t>
      </w:r>
      <w:r>
        <w:rPr>
          <w:rFonts w:hint="eastAsia" w:ascii="仿宋" w:hAnsi="仿宋" w:eastAsia="仿宋"/>
          <w:color w:val="auto"/>
          <w:sz w:val="32"/>
          <w:szCs w:val="32"/>
          <w:highlight w:val="none"/>
          <w:lang w:val="en-US" w:eastAsia="zh-CN"/>
        </w:rPr>
        <w:t>528.80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8.66</w:t>
      </w:r>
      <w:r>
        <w:rPr>
          <w:rFonts w:ascii="仿宋" w:hAnsi="仿宋" w:eastAsia="仿宋"/>
          <w:color w:val="auto"/>
          <w:sz w:val="32"/>
          <w:szCs w:val="32"/>
          <w:highlight w:val="none"/>
        </w:rPr>
        <w:t>%</w:t>
      </w:r>
      <w:r>
        <w:rPr>
          <w:rFonts w:hint="eastAsia" w:ascii="仿宋" w:hAnsi="仿宋" w:eastAsia="仿宋"/>
          <w:color w:val="auto"/>
          <w:sz w:val="32"/>
          <w:szCs w:val="32"/>
          <w:highlight w:val="none"/>
        </w:rPr>
        <w:t>；上缴上级支出</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w:t>
      </w:r>
      <w:r>
        <w:rPr>
          <w:rFonts w:ascii="仿宋" w:hAnsi="仿宋" w:eastAsia="仿宋"/>
          <w:color w:val="auto"/>
          <w:sz w:val="32"/>
          <w:szCs w:val="32"/>
          <w:highlight w:val="none"/>
        </w:rPr>
        <w:t>%</w:t>
      </w:r>
      <w:r>
        <w:rPr>
          <w:rFonts w:hint="eastAsia" w:ascii="仿宋" w:hAnsi="仿宋" w:eastAsia="仿宋"/>
          <w:color w:val="auto"/>
          <w:sz w:val="32"/>
          <w:szCs w:val="32"/>
          <w:highlight w:val="none"/>
        </w:rPr>
        <w:t>；经营支出</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w:t>
      </w:r>
      <w:r>
        <w:rPr>
          <w:rFonts w:ascii="仿宋" w:hAnsi="仿宋" w:eastAsia="仿宋"/>
          <w:color w:val="auto"/>
          <w:sz w:val="32"/>
          <w:szCs w:val="32"/>
          <w:highlight w:val="none"/>
        </w:rPr>
        <w:t>%</w:t>
      </w:r>
      <w:r>
        <w:rPr>
          <w:rFonts w:hint="eastAsia" w:ascii="仿宋" w:hAnsi="仿宋" w:eastAsia="仿宋"/>
          <w:color w:val="auto"/>
          <w:sz w:val="32"/>
          <w:szCs w:val="32"/>
          <w:highlight w:val="none"/>
        </w:rPr>
        <w:t>；对附属单位补助支出</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bookmarkEnd w:id="36"/>
    </w:p>
    <w:p>
      <w:pPr>
        <w:autoSpaceDE w:val="0"/>
        <w:autoSpaceDN w:val="0"/>
        <w:adjustRightInd w:val="0"/>
        <w:ind w:firstLine="640" w:firstLineChars="200"/>
        <w:jc w:val="left"/>
        <w:rPr>
          <w:rFonts w:hint="eastAsia" w:ascii="仿宋_GB2312" w:eastAsia="仿宋_GB2312" w:cs="仿宋_GB2312"/>
          <w:kern w:val="0"/>
          <w:sz w:val="32"/>
          <w:szCs w:val="32"/>
          <w:lang w:val="en-US" w:eastAsia="zh-CN"/>
        </w:rPr>
      </w:pPr>
    </w:p>
    <w:p>
      <w:pPr>
        <w:autoSpaceDE w:val="0"/>
        <w:autoSpaceDN w:val="0"/>
        <w:adjustRightInd w:val="0"/>
        <w:ind w:firstLine="640" w:firstLineChars="200"/>
        <w:jc w:val="left"/>
        <w:rPr>
          <w:rFonts w:ascii="仿宋_GB2312" w:eastAsia="仿宋_GB2312"/>
          <w:color w:val="auto"/>
          <w:sz w:val="32"/>
          <w:szCs w:val="32"/>
          <w:highlight w:val="none"/>
        </w:rPr>
      </w:pPr>
      <w:r>
        <w:rPr>
          <w:sz w:val="32"/>
        </w:rPr>
        <mc:AlternateContent>
          <mc:Choice Requires="wps">
            <w:drawing>
              <wp:anchor distT="0" distB="0" distL="114300" distR="114300" simplePos="0" relativeHeight="251660288" behindDoc="0" locked="0" layoutInCell="1" allowOverlap="1">
                <wp:simplePos x="0" y="0"/>
                <wp:positionH relativeFrom="column">
                  <wp:posOffset>1423035</wp:posOffset>
                </wp:positionH>
                <wp:positionV relativeFrom="paragraph">
                  <wp:posOffset>653415</wp:posOffset>
                </wp:positionV>
                <wp:extent cx="876300" cy="9525"/>
                <wp:effectExtent l="0" t="0" r="0" b="0"/>
                <wp:wrapNone/>
                <wp:docPr id="24" name="直接连接符 24"/>
                <wp:cNvGraphicFramePr/>
                <a:graphic xmlns:a="http://schemas.openxmlformats.org/drawingml/2006/main">
                  <a:graphicData uri="http://schemas.microsoft.com/office/word/2010/wordprocessingShape">
                    <wps:wsp>
                      <wps:cNvCnPr/>
                      <wps:spPr>
                        <a:xfrm flipH="1">
                          <a:off x="2546985" y="4345305"/>
                          <a:ext cx="876300" cy="9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margin-left:112.05pt;margin-top:51.45pt;height:0.75pt;width:69pt;z-index:251660288;mso-width-relative:page;mso-height-relative:page;" filled="f" stroked="t" coordsize="21600,21600" o:gfxdata="UEsDBAoAAAAAAIdO4kAAAAAAAAAAAAAAAAAEAAAAZHJzL1BLAwQUAAAACACHTuJAdENUQ9gAAAAL&#10;AQAADwAAAGRycy9kb3ducmV2LnhtbE2PvU7EMBCEeyTewVokOs6OiU4Q4pwipDSAhAg01znxEoeL&#10;7Sj2/b09exWUO/NpdqbcnNzEDrjEMXgF2UoAQ98HM/pBwddnc/cALCbtjZ6CRwVnjLCprq9KXZhw&#10;9B94aNPAKMTHQiuwKc0F57G36HRchRk9ed9hcTrRuQzcLPpI4W7iUog1d3r09MHqGZ8t9rt27xQ0&#10;3Whf69AMb2f3g+2u3tbvL1ulbm8y8QQs4Sn9wXCpT9Whok5d2HsT2aRAyjwjlAwhH4ERcb+WpHQX&#10;Jc+BVyX/v6H6BVBLAwQUAAAACACHTuJAkBcm2w0CAADtAwAADgAAAGRycy9lMm9Eb2MueG1srVPL&#10;jtMwFN0j8Q+W9zTpc9qo6YiZMrDgUQn4ANdxEkt+ydfTtD/BDyCxgxVL9vwNw2dw7WQGGDazYOPY&#10;93F8z/HJ+vyoFTkID9Kako5HOSXCcFtJ05T0/burJ0tKIDBTMWWNKOlJAD3fPH607lwhJra1qhKe&#10;IIiBonMlbUNwRZYBb4VmMLJOGEzW1msW8OibrPKsQ3StskmeL7LO+sp5ywUARrd9kg6I/iGAtq4l&#10;F1vLr7UwoUf1QrGAlKCVDugmTVvXgoc3dQ0iEFVSZBrSipfgfh/XbLNmReOZayUfRmAPGeEeJ82k&#10;wUvvoLYsMHLt5T9QWnJvwdZhxK3OeiJJEWQxzu9p87ZlTiQuKDW4O9Hh/8Hy14edJ7Iq6WRGiWEa&#10;X/zm47cfHz7//P4J15uvXwhmUKbOQYHVl2bnhxO4nY+cj7XXpFbSvUA/JRWQFzki5Hy2WC3nlJxK&#10;OpvO5tN83gsujoFwLFieLaY5PgXHgtV8krJZDxiBnYfwXFhN4qakSpqoBivY4SUEHAJLb0ti2Ngr&#10;qVR6UWVIN0ASztClNboD79EOmYJpKGGqQfvz4BMiWCWr2B1xwDf7S+XJgaFpZk/Pnl1c9EUtq0Qf&#10;Xc1znDtdBSy8slUfHue3cRxtgElj/oUfZ94yaPuelIpQ2KIMfqLQvbRxt7fVKSme4uiCVDg4Ntrs&#10;z3Pq/v2Xbn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dENUQ9gAAAALAQAADwAAAAAAAAABACAA&#10;AAAiAAAAZHJzL2Rvd25yZXYueG1sUEsBAhQAFAAAAAgAh07iQJAXJtsNAgAA7QMAAA4AAAAAAAAA&#10;AQAgAAAAJwEAAGRycy9lMm9Eb2MueG1sUEsFBgAAAAAGAAYAWQEAAKYFAAAAAA==&#10;">
                <v:fill on="f" focussize="0,0"/>
                <v:stroke color="#4A7EBB [3204]" joinstyle="round"/>
                <v:imagedata o:title=""/>
                <o:lock v:ext="edit" aspectratio="f"/>
              </v:line>
            </w:pict>
          </mc:Fallback>
        </mc:AlternateContent>
      </w:r>
      <w:r>
        <w:rPr>
          <w:sz w:val="32"/>
        </w:rPr>
        <mc:AlternateContent>
          <mc:Choice Requires="wps">
            <w:drawing>
              <wp:anchor distT="0" distB="0" distL="114300" distR="114300" simplePos="0" relativeHeight="251663360" behindDoc="0" locked="0" layoutInCell="1" allowOverlap="1">
                <wp:simplePos x="0" y="0"/>
                <wp:positionH relativeFrom="column">
                  <wp:posOffset>4004310</wp:posOffset>
                </wp:positionH>
                <wp:positionV relativeFrom="paragraph">
                  <wp:posOffset>1120140</wp:posOffset>
                </wp:positionV>
                <wp:extent cx="618490" cy="285750"/>
                <wp:effectExtent l="4445" t="4445" r="5715" b="14605"/>
                <wp:wrapNone/>
                <wp:docPr id="28" name="文本框 28"/>
                <wp:cNvGraphicFramePr/>
                <a:graphic xmlns:a="http://schemas.openxmlformats.org/drawingml/2006/main">
                  <a:graphicData uri="http://schemas.microsoft.com/office/word/2010/wordprocessingShape">
                    <wps:wsp>
                      <wps:cNvSpPr txBox="1"/>
                      <wps:spPr>
                        <a:xfrm>
                          <a:off x="5147310" y="4792980"/>
                          <a:ext cx="618490" cy="2857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91.34%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5.3pt;margin-top:88.2pt;height:22.5pt;width:48.7pt;z-index:251663360;mso-width-relative:page;mso-height-relative:page;" fillcolor="#FFFFFF [3201]" filled="t" stroked="t" coordsize="21600,21600" o:gfxdata="UEsDBAoAAAAAAIdO4kAAAAAAAAAAAAAAAAAEAAAAZHJzL1BLAwQUAAAACACHTuJAoKRkqNcAAAAL&#10;AQAADwAAAGRycy9kb3ducmV2LnhtbE2Py2rDMBBF94X+g5hCd41kOTjBtRxooVC6a+JNd4o1sU31&#10;MJISp3/f6apZDvdw59xmd3WWXTCmKXgFxUoAQ98HM/lBQXd4e9oCS1l7o23wqOAHE+za+7tG1yYs&#10;/hMv+zwwKvGp1grGnOea89SP6HRahRk9ZacQnc50xoGbqBcqd5ZLISru9OTpw6hnfB2x/96fnYL3&#10;6iV/YWc+TCnLsHS8jyeblHp8KMQzsIzX/A/Dnz6pQ0tOx3D2JjGroCpFRSgFm2oNjIiN3NK6owIp&#10;izXwtuG3G9pfUEsDBBQAAAAIAIdO4kBxhFgfZAIAAMQEAAAOAAAAZHJzL2Uyb0RvYy54bWytVEtu&#10;2zAQ3RfoHQjuG1mOHX8QOXATuCgQNAHcomuaoiyhFMmStKX0AM0Nuuqm+54r5+gjJSdp0kUW9YIe&#10;cp7fzLyZ8elZW0uyF9ZVWmU0PRpQIhTXeaW2Gf30cfVmSonzTOVMaiUyeiMcPVu8fnXamLkY6lLL&#10;XFgCEuXmjclo6b2ZJ4njpaiZO9JGKDgLbWvmcbXbJLesAXstk+FgcJI02ubGai6cw+tF56Q9o30J&#10;oS6KiosLzXe1UL5jtUIyj5JcWRlHFzHbohDcXxWFE57IjKJSH08Egb0JZ7I4ZfOtZaaseJ8Ce0kK&#10;T2qqWaUQ9J7qgnlGdrZ6RlVX3GqnC3/EdZ10hURFUEU6eKLNumRGxFogtTP3orv/R8s/7K8tqfKM&#10;DtF3xWp0/O7H7d3P33e/vhO8QaDGuDlwawOkb9/qFmNzeHd4DHW3ha3DNyoi8I/T0eQ4hcg3GR1N&#10;ZsPZtJdatJ5wAE7S6WgGPwdgOB1PxtGfPBAZ6/w7oWsSjIxadDIKzPaXziMpQA+QENdpWeWrSsp4&#10;sdvNubRkz9D1VfyEfPGTv2BSkQaZHCP2M4rAfU+xkYx/ec4APqlAG/TpdAiWbzdtL9pG5zfQzOpu&#10;7Jzhqwq8l8z5a2YxZxAAm+ivcBRSIxndW5SU2n7713vAo/3wUtJgbjPqvu6YFZTI9wqDMUtHI9D6&#10;eBmNJ0Nc7GPP5rFH7epzDZFS7Lzh0Qx4Lw9mYXX9GQu7DFHhYoojdkb9wTz33TZh4blYLiMIo22Y&#10;v1RrwwN1EFfp5c7rooqtCzJ12vTqYbhje/pFDNvz+B5RD38+i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gpGSo1wAAAAsBAAAPAAAAAAAAAAEAIAAAACIAAABkcnMvZG93bnJldi54bWxQSwECFAAU&#10;AAAACACHTuJAcYRYH2QCAADEBAAADgAAAAAAAAABACAAAAAmAQAAZHJzL2Uyb0RvYy54bWxQSwUG&#10;AAAAAAYABgBZAQAA/AUAAAAA&#10;">
                <v:fill on="t" focussize="0,0"/>
                <v:stroke weight="0.5pt" color="#000000 [3204]" joinstyle="round"/>
                <v:imagedata o:title=""/>
                <o:lock v:ext="edit" aspectratio="f"/>
                <v:textbox>
                  <w:txbxContent>
                    <w:p>
                      <w:pPr>
                        <w:rPr>
                          <w:rFonts w:hint="default" w:eastAsia="宋体"/>
                          <w:lang w:val="en-US" w:eastAsia="zh-CN"/>
                        </w:rPr>
                      </w:pPr>
                      <w:r>
                        <w:rPr>
                          <w:rFonts w:hint="eastAsia"/>
                          <w:lang w:val="en-US" w:eastAsia="zh-CN"/>
                        </w:rPr>
                        <w:t>91.34%</w:t>
                      </w:r>
                    </w:p>
                  </w:txbxContent>
                </v:textbox>
              </v:shape>
            </w:pict>
          </mc:Fallback>
        </mc:AlternateContent>
      </w:r>
      <w:r>
        <w:rPr>
          <w:sz w:val="32"/>
        </w:rPr>
        <mc:AlternateContent>
          <mc:Choice Requires="wps">
            <w:drawing>
              <wp:anchor distT="0" distB="0" distL="114300" distR="114300" simplePos="0" relativeHeight="251662336" behindDoc="0" locked="0" layoutInCell="1" allowOverlap="1">
                <wp:simplePos x="0" y="0"/>
                <wp:positionH relativeFrom="column">
                  <wp:posOffset>861060</wp:posOffset>
                </wp:positionH>
                <wp:positionV relativeFrom="paragraph">
                  <wp:posOffset>577215</wp:posOffset>
                </wp:positionV>
                <wp:extent cx="628015" cy="285750"/>
                <wp:effectExtent l="4445" t="4445" r="15240" b="14605"/>
                <wp:wrapNone/>
                <wp:docPr id="27" name="文本框 27"/>
                <wp:cNvGraphicFramePr/>
                <a:graphic xmlns:a="http://schemas.openxmlformats.org/drawingml/2006/main">
                  <a:graphicData uri="http://schemas.microsoft.com/office/word/2010/wordprocessingShape">
                    <wps:wsp>
                      <wps:cNvSpPr txBox="1"/>
                      <wps:spPr>
                        <a:xfrm>
                          <a:off x="1908810" y="4250055"/>
                          <a:ext cx="628015" cy="28575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8.66%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7.8pt;margin-top:45.45pt;height:22.5pt;width:49.45pt;z-index:251662336;mso-width-relative:page;mso-height-relative:page;" fillcolor="#FFFFFF [3201]" filled="t" stroked="t" coordsize="21600,21600" o:gfxdata="UEsDBAoAAAAAAIdO4kAAAAAAAAAAAAAAAAAEAAAAZHJzL1BLAwQUAAAACACHTuJAmMMuEtUAAAAK&#10;AQAADwAAAGRycy9kb3ducmV2LnhtbE2PwU7DMBBE70j8g7VI3KjdhEYkxKkEEhLiRpsLNzfeJhH2&#10;Oordpvw9Cxc4juZp9m29vXgnzjjHMZCG9UqBQOqCHanX0O5f7h5AxGTIGhcINXxhhG1zfVWbyoaF&#10;3vG8S73gEYqV0TCkNFVSxm5Ab+IqTEjcHcPsTeI499LOZuFx72SmVCG9GYkvDGbC5wG7z93Ja3gt&#10;ntIHtvbN5lkellZ289FFrW9v1uoRRMJL+oPhR5/VoWGnQziRjcJxzjcFoxpKVYJgIMvvNyAOv00J&#10;sqnl/xeab1BLAwQUAAAACACHTuJAgRfrnWUCAADEBAAADgAAAGRycy9lMm9Eb2MueG1srVTBbhMx&#10;EL0j8Q+W73Q3S7ZNo2yq0CoIqaKVCuLseL1ZC9tjbCe75QPgDzhx4c539TsYe5O0tBx6IAdn7Hl5&#10;M/NmJrOzXiuyFc5LMBUdHeWUCMOhlmZd0Y8flq8mlPjATM0UGFHRW+Hp2fzli1lnp6KAFlQtHEES&#10;46edrWgbgp1mmeet0MwfgRUGnQ04zQJe3TqrHeuQXausyPPjrANXWwdceI+vF4OT7hjdcwihaSQX&#10;F8A3WpgwsDqhWMCSfCutp/OUbdMIHq6axotAVEWx0pBODIL2Kp7ZfMama8dsK/kuBfacFB7VpJk0&#10;GPRAdcECIxsnn1BpyR14aMIRB50NhSRFsIpR/kibm5ZZkWpBqb09iO7/Hy1/v712RNYVLU4oMUxj&#10;x+9+fL/7+fvu1zeCbyhQZ/0UcTcWkaF/Az2Ozf7d42Osu2+cjt9YEYn+03wyGaHItxUdF2Wel+Ug&#10;tegD4Qg4Lib5qKSEI6CYlCdlakV2T2SdD28FaBKNijrsZBKYbS99wKQQuofEuB6UrJdSqXRx69W5&#10;cmTLsOvL9InR8Sd/wZQhHWbyGmM/oYjcB4qVYvzzUwbkUwZpoz6DDtEK/arfibaC+hY1czCMnbd8&#10;KZH3kvlwzRzOGQqEmxiu8GgUYDKwsyhpwX3913vEY/vRS0mHc1tR/2XDnKBEvTM4GKej8TgOerqM&#10;y5MCL+6hZ/XQYzb6HFCkEe685cmM+KD2ZuNAf8KFXcSo6GKGY+yKhr15HoZtwoXnYrFIIBxty8Kl&#10;ubE8UkdxDSw2ARqZWhdlGrTZqYfDndqzW8S4PQ/vCXX/5zP/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JjDLhLVAAAACgEAAA8AAAAAAAAAAQAgAAAAIgAAAGRycy9kb3ducmV2LnhtbFBLAQIUABQA&#10;AAAIAIdO4kCBF+udZQIAAMQEAAAOAAAAAAAAAAEAIAAAACQBAABkcnMvZTJvRG9jLnhtbFBLBQYA&#10;AAAABgAGAFkBAAD7BQAAAAA=&#10;">
                <v:fill on="t" focussize="0,0"/>
                <v:stroke weight="0.5pt" color="#000000 [3204]" joinstyle="round"/>
                <v:imagedata o:title=""/>
                <o:lock v:ext="edit" aspectratio="f"/>
                <v:textbox>
                  <w:txbxContent>
                    <w:p>
                      <w:pPr>
                        <w:rPr>
                          <w:rFonts w:hint="default" w:eastAsia="宋体"/>
                          <w:lang w:val="en-US" w:eastAsia="zh-CN"/>
                        </w:rPr>
                      </w:pPr>
                      <w:r>
                        <w:rPr>
                          <w:rFonts w:hint="eastAsia"/>
                          <w:lang w:val="en-US" w:eastAsia="zh-CN"/>
                        </w:rPr>
                        <w:t>8.66%</w:t>
                      </w:r>
                    </w:p>
                  </w:txbxContent>
                </v:textbox>
              </v:shape>
            </w:pict>
          </mc:Fallback>
        </mc:AlternateContent>
      </w:r>
      <w:r>
        <w:rPr>
          <w:sz w:val="32"/>
        </w:rPr>
        <mc:AlternateContent>
          <mc:Choice Requires="wps">
            <w:drawing>
              <wp:anchor distT="0" distB="0" distL="114300" distR="114300" simplePos="0" relativeHeight="251661312" behindDoc="0" locked="0" layoutInCell="1" allowOverlap="1">
                <wp:simplePos x="0" y="0"/>
                <wp:positionH relativeFrom="column">
                  <wp:posOffset>3442335</wp:posOffset>
                </wp:positionH>
                <wp:positionV relativeFrom="paragraph">
                  <wp:posOffset>1196340</wp:posOffset>
                </wp:positionV>
                <wp:extent cx="581025" cy="285750"/>
                <wp:effectExtent l="1905" t="4445" r="7620" b="14605"/>
                <wp:wrapNone/>
                <wp:docPr id="25" name="直接连接符 25"/>
                <wp:cNvGraphicFramePr/>
                <a:graphic xmlns:a="http://schemas.openxmlformats.org/drawingml/2006/main">
                  <a:graphicData uri="http://schemas.microsoft.com/office/word/2010/wordprocessingShape">
                    <wps:wsp>
                      <wps:cNvCnPr/>
                      <wps:spPr>
                        <a:xfrm flipV="1">
                          <a:off x="4585335" y="4954905"/>
                          <a:ext cx="581025" cy="2857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271.05pt;margin-top:94.2pt;height:22.5pt;width:45.75pt;z-index:251661312;mso-width-relative:page;mso-height-relative:page;" filled="f" stroked="t" coordsize="21600,21600" o:gfxdata="UEsDBAoAAAAAAIdO4kAAAAAAAAAAAAAAAAAEAAAAZHJzL1BLAwQUAAAACACHTuJA5O6VGNkAAAAL&#10;AQAADwAAAGRycy9kb3ducmV2LnhtbE2PS0vEMBSF94L/IVzBnZO+LKU2HYrQjQpidTO7tLk2dZqb&#10;0mRe/964cpaX83HOd6vt2czsiKubLAmINxEwpMGqiUYBX5/tQwHMeUlKzpZQwAUdbOvbm0qWyp7o&#10;A4+dH1koIVdKAdr7peTcDRqNdBu7IIXs265G+nCuI1erPIVyM/MkinJu5ERhQcsFnzUO++5gBLT9&#10;pF8b245vF/OD3b7ZNe8vOyHu7+LoCZjHs/+H4U8/qEMdnHp7IOXYLOAxS+KAhqAoMmCByNM0B9YL&#10;SNI0A15X/PqH+hdQSwMEFAAAAAgAh07iQFgEXnkQAgAA7wMAAA4AAABkcnMvZTJvRG9jLnhtbK2T&#10;y3LTMBSG98zwDhrtiZ00poknToc2lA2XzHDZn8iyrRndRlLj5CV4AWbYlRVL9rwN5TE4kt0CZdMF&#10;G1k6Ovp0/l/Hq7ODkmTPnRdGV3Q6ySnhmpla6Lai799dPllQ4gPoGqTRvKJH7unZ+vGjVW9LPjOd&#10;kTV3BCHal72taBeCLbPMs44r8BNjucbNxjgFAZeuzWoHPdKVzGZ5/jTrjautM4x7j9HNsElHonsI&#10;0DSNYHxj2JXiOgxUxyUElOQ7YT1dp2qbhrPwpmk8D0RWFJWGNOIlON/FMVuvoGwd2E6wsQR4SAn3&#10;NCkQGi+9Q20gALly4h+UEswZb5owYUZlg5DkCKqY5ve8eduB5UkLWu3tnen+/2HZ6/3WEVFXdFZQ&#10;okHhi998+vbj4/XP759xvPn6heAO2tRbX2L2hd66ceXt1kXNh8Yp0khhP2A/JRdQFzlUdF4sipMT&#10;5B5xvizmyzyRoOSHQBgmFItpHu9lmDBbFKdFepBsQEa0dT684EaROKmoFDr6ASXsX/qAZWDqbUoM&#10;a3MppExvKjXpK7osEh6wTxvsD7xJWdTqdUsJyBZ/ABZcInojRR1PR4537e5COrIHbJv5s9Pn5+dD&#10;Ugc1H6LLIs/H9vEQXpl6CE/z2ziWNmJSmX/xY80b8N1wJm1Fi/GI1PiJVg/mxtnO1MfkeYpjH6TE&#10;sWdjo/25Tqd//6frX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OTulRjZAAAACwEAAA8AAAAAAAAA&#10;AQAgAAAAIgAAAGRycy9kb3ducmV2LnhtbFBLAQIUABQAAAAIAIdO4kBYBF55EAIAAO8DAAAOAAAA&#10;AAAAAAEAIAAAACgBAABkcnMvZTJvRG9jLnhtbFBLBQYAAAAABgAGAFkBAACqBQAAAAA=&#10;">
                <v:fill on="f" focussize="0,0"/>
                <v:stroke color="#4A7EBB [3204]" joinstyle="round"/>
                <v:imagedata o:title=""/>
                <o:lock v:ext="edit" aspectratio="f"/>
              </v:line>
            </w:pict>
          </mc:Fallback>
        </mc:AlternateContent>
      </w:r>
      <w:r>
        <w:rPr>
          <w:rFonts w:hint="eastAsia" w:ascii="仿宋_GB2312" w:eastAsia="仿宋_GB2312" w:cs="仿宋_GB2312"/>
          <w:kern w:val="0"/>
          <w:sz w:val="32"/>
          <w:szCs w:val="32"/>
          <w:lang w:val="en-US" w:eastAsia="zh-CN"/>
        </w:rPr>
        <w:drawing>
          <wp:inline distT="0" distB="0" distL="114300" distR="114300">
            <wp:extent cx="4500245" cy="2683510"/>
            <wp:effectExtent l="4445" t="4445" r="10160" b="17145"/>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pPr>
        <w:spacing w:line="600" w:lineRule="exact"/>
        <w:ind w:firstLine="640" w:firstLineChars="200"/>
        <w:outlineLvl w:val="1"/>
        <w:rPr>
          <w:rStyle w:val="27"/>
          <w:rFonts w:ascii="黑体" w:hAnsi="黑体" w:eastAsia="黑体"/>
          <w:b w:val="0"/>
          <w:color w:val="auto"/>
          <w:highlight w:val="none"/>
        </w:rPr>
      </w:pPr>
      <w:bookmarkStart w:id="37" w:name="_Toc15396606"/>
      <w:bookmarkStart w:id="38" w:name="_Toc15377208"/>
      <w:bookmarkStart w:id="39" w:name="_Toc16957"/>
      <w:r>
        <w:rPr>
          <w:rFonts w:hint="eastAsia" w:ascii="黑体" w:hAnsi="黑体" w:eastAsia="黑体"/>
          <w:color w:val="auto"/>
          <w:sz w:val="32"/>
          <w:szCs w:val="32"/>
          <w:highlight w:val="none"/>
        </w:rPr>
        <w:t>四、财</w:t>
      </w:r>
      <w:r>
        <w:rPr>
          <w:rStyle w:val="27"/>
          <w:rFonts w:hint="eastAsia" w:ascii="黑体" w:hAnsi="黑体" w:eastAsia="黑体"/>
          <w:b w:val="0"/>
          <w:color w:val="auto"/>
          <w:highlight w:val="none"/>
        </w:rPr>
        <w:t>政拨款收入支出决算总体情况说明</w:t>
      </w:r>
      <w:bookmarkEnd w:id="37"/>
      <w:bookmarkEnd w:id="38"/>
      <w:bookmarkEnd w:id="39"/>
    </w:p>
    <w:p>
      <w:pPr>
        <w:spacing w:line="600" w:lineRule="exact"/>
        <w:ind w:firstLine="640"/>
        <w:rPr>
          <w:rFonts w:hint="eastAsia" w:ascii="黑体" w:hAnsi="黑体" w:eastAsia="黑体"/>
          <w:color w:val="000000"/>
          <w:sz w:val="32"/>
          <w:szCs w:val="32"/>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年财政拨款收、支总计</w:t>
      </w:r>
      <w:r>
        <w:rPr>
          <w:rFonts w:hint="eastAsia" w:ascii="仿宋" w:hAnsi="仿宋" w:eastAsia="仿宋"/>
          <w:color w:val="auto"/>
          <w:sz w:val="32"/>
          <w:szCs w:val="32"/>
          <w:highlight w:val="none"/>
          <w:lang w:val="en-US" w:eastAsia="zh-CN"/>
        </w:rPr>
        <w:t>2413.70</w:t>
      </w:r>
      <w:r>
        <w:rPr>
          <w:rFonts w:hint="eastAsia" w:ascii="仿宋" w:hAnsi="仿宋" w:eastAsia="仿宋"/>
          <w:color w:val="auto"/>
          <w:sz w:val="32"/>
          <w:szCs w:val="32"/>
          <w:highlight w:val="none"/>
        </w:rPr>
        <w:t>万元。与</w:t>
      </w: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21</w:t>
      </w:r>
      <w:r>
        <w:rPr>
          <w:rFonts w:hint="eastAsia" w:ascii="仿宋" w:hAnsi="仿宋" w:eastAsia="仿宋"/>
          <w:color w:val="auto"/>
          <w:sz w:val="32"/>
          <w:szCs w:val="32"/>
          <w:highlight w:val="none"/>
        </w:rPr>
        <w:t>年相比，财政拨款收、支总计各增加</w:t>
      </w:r>
      <w:r>
        <w:rPr>
          <w:rFonts w:hint="eastAsia" w:ascii="仿宋" w:hAnsi="仿宋" w:eastAsia="仿宋"/>
          <w:color w:val="auto"/>
          <w:sz w:val="32"/>
          <w:szCs w:val="32"/>
          <w:highlight w:val="none"/>
          <w:lang w:val="en-US" w:eastAsia="zh-CN"/>
        </w:rPr>
        <w:t>966.03</w:t>
      </w:r>
      <w:r>
        <w:rPr>
          <w:rFonts w:hint="eastAsia" w:ascii="仿宋" w:hAnsi="仿宋" w:eastAsia="仿宋"/>
          <w:color w:val="auto"/>
          <w:sz w:val="32"/>
          <w:szCs w:val="32"/>
          <w:highlight w:val="none"/>
        </w:rPr>
        <w:t>万元，增长</w:t>
      </w:r>
      <w:r>
        <w:rPr>
          <w:rFonts w:hint="eastAsia" w:ascii="仿宋" w:hAnsi="仿宋" w:eastAsia="仿宋"/>
          <w:color w:val="auto"/>
          <w:sz w:val="32"/>
          <w:szCs w:val="32"/>
          <w:highlight w:val="none"/>
          <w:lang w:val="en-US" w:eastAsia="zh-CN"/>
        </w:rPr>
        <w:t>66.73</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。主要变动原因是</w:t>
      </w:r>
      <w:r>
        <w:rPr>
          <w:rFonts w:hint="eastAsia" w:ascii="仿宋" w:hAnsi="仿宋" w:eastAsia="仿宋"/>
          <w:color w:val="auto"/>
          <w:sz w:val="32"/>
          <w:szCs w:val="32"/>
          <w:highlight w:val="none"/>
          <w:lang w:eastAsia="zh-CN"/>
        </w:rPr>
        <w:t>其他地方自行试点项目政府性基金收入增加。</w:t>
      </w:r>
    </w:p>
    <w:p>
      <w:pPr>
        <w:spacing w:line="600" w:lineRule="exact"/>
        <w:ind w:firstLine="562" w:firstLineChars="200"/>
        <w:jc w:val="center"/>
        <w:outlineLvl w:val="1"/>
        <w:rPr>
          <w:rFonts w:hint="eastAsia" w:ascii="黑体" w:hAnsi="黑体" w:eastAsia="黑体"/>
          <w:color w:val="000000"/>
          <w:sz w:val="32"/>
          <w:szCs w:val="32"/>
        </w:rPr>
      </w:pPr>
      <w:r>
        <w:rPr>
          <w:rFonts w:hint="eastAsia" w:ascii="仿宋_GB2312" w:hAnsi="仿宋" w:eastAsia="仿宋_GB2312"/>
          <w:b/>
          <w:bCs/>
          <w:color w:val="000000"/>
          <w:sz w:val="28"/>
          <w:szCs w:val="28"/>
        </w:rPr>
        <w:pict>
          <v:shape id="_x0000_s1027" o:spid="_x0000_s1027" o:spt="75" type="#_x0000_t75" style="position:absolute;left:0pt;margin-left:11.7pt;margin-top:-1.5pt;height:204.45pt;width:405.35pt;mso-wrap-distance-bottom:0pt;mso-wrap-distance-top:0pt;z-index:251664384;mso-width-relative:page;mso-height-relative:page;" o:ole="t" filled="f" o:preferrelative="t" stroked="f" coordsize="21600,21600">
            <v:path/>
            <v:fill on="f" focussize="0,0"/>
            <v:stroke on="f"/>
            <v:imagedata r:id="rId15" o:title=""/>
            <o:lock v:ext="edit" aspectratio="f"/>
            <w10:wrap type="topAndBottom"/>
          </v:shape>
          <o:OLEObject Type="Embed" ProgID="Excel.Sheet.8" ShapeID="_x0000_s1027" DrawAspect="Content" ObjectID="_1468075726" r:id="rId14">
            <o:LockedField>false</o:LockedField>
          </o:OLEObject>
        </w:pict>
      </w:r>
      <w:r>
        <w:rPr>
          <w:rFonts w:hint="eastAsia" w:ascii="仿宋_GB2312" w:hAnsi="仿宋" w:eastAsia="仿宋_GB2312"/>
          <w:b/>
          <w:bCs/>
          <w:color w:val="000000"/>
          <w:sz w:val="32"/>
          <w:szCs w:val="32"/>
          <w:lang w:eastAsia="zh-CN"/>
        </w:rPr>
        <w:t>图</w:t>
      </w:r>
      <w:r>
        <w:rPr>
          <w:rFonts w:hint="eastAsia" w:ascii="仿宋_GB2312" w:hAnsi="仿宋" w:eastAsia="仿宋_GB2312"/>
          <w:b/>
          <w:bCs/>
          <w:color w:val="000000"/>
          <w:sz w:val="32"/>
          <w:szCs w:val="32"/>
          <w:lang w:val="en-US" w:eastAsia="zh-CN"/>
        </w:rPr>
        <w:t>4  财政拨款收入支出决算变动情况图</w:t>
      </w:r>
    </w:p>
    <w:p>
      <w:pPr>
        <w:spacing w:line="600" w:lineRule="exact"/>
        <w:ind w:firstLine="640"/>
        <w:rPr>
          <w:rFonts w:ascii="仿宋" w:hAnsi="仿宋" w:eastAsia="仿宋"/>
          <w:b/>
          <w:color w:val="auto"/>
          <w:sz w:val="32"/>
          <w:szCs w:val="32"/>
          <w:highlight w:val="none"/>
        </w:rPr>
      </w:pPr>
    </w:p>
    <w:p>
      <w:pPr>
        <w:spacing w:line="600" w:lineRule="exact"/>
        <w:ind w:firstLine="640" w:firstLineChars="200"/>
        <w:outlineLvl w:val="1"/>
        <w:rPr>
          <w:rStyle w:val="27"/>
          <w:rFonts w:ascii="黑体" w:hAnsi="黑体" w:eastAsia="黑体"/>
          <w:b w:val="0"/>
          <w:color w:val="auto"/>
          <w:highlight w:val="none"/>
        </w:rPr>
      </w:pPr>
      <w:bookmarkStart w:id="40" w:name="_Toc15396607"/>
      <w:bookmarkStart w:id="41" w:name="_Toc15377209"/>
      <w:bookmarkStart w:id="42" w:name="_Toc21770"/>
      <w:r>
        <w:rPr>
          <w:rFonts w:hint="eastAsia" w:ascii="黑体" w:hAnsi="黑体" w:eastAsia="黑体"/>
          <w:color w:val="auto"/>
          <w:sz w:val="32"/>
          <w:szCs w:val="32"/>
          <w:highlight w:val="none"/>
        </w:rPr>
        <w:t>五、</w:t>
      </w:r>
      <w:r>
        <w:rPr>
          <w:rFonts w:hint="eastAsia" w:ascii="黑体" w:hAnsi="黑体" w:eastAsia="黑体"/>
          <w:b/>
          <w:color w:val="auto"/>
          <w:sz w:val="32"/>
          <w:szCs w:val="32"/>
          <w:highlight w:val="none"/>
        </w:rPr>
        <w:t>一</w:t>
      </w:r>
      <w:r>
        <w:rPr>
          <w:rStyle w:val="27"/>
          <w:rFonts w:hint="eastAsia" w:ascii="黑体" w:hAnsi="黑体" w:eastAsia="黑体"/>
          <w:b w:val="0"/>
          <w:color w:val="auto"/>
          <w:highlight w:val="none"/>
        </w:rPr>
        <w:t>般公共预算财政拨款支出决算情况说明</w:t>
      </w:r>
      <w:bookmarkEnd w:id="40"/>
      <w:bookmarkEnd w:id="41"/>
      <w:bookmarkEnd w:id="42"/>
    </w:p>
    <w:p>
      <w:pPr>
        <w:spacing w:line="600" w:lineRule="exact"/>
        <w:ind w:firstLine="643" w:firstLineChars="200"/>
        <w:outlineLvl w:val="2"/>
        <w:rPr>
          <w:rFonts w:ascii="仿宋" w:hAnsi="仿宋" w:eastAsia="仿宋"/>
          <w:b/>
          <w:color w:val="auto"/>
          <w:sz w:val="32"/>
          <w:szCs w:val="32"/>
          <w:highlight w:val="none"/>
        </w:rPr>
      </w:pPr>
      <w:bookmarkStart w:id="43" w:name="_Toc15377210"/>
      <w:r>
        <w:rPr>
          <w:rFonts w:hint="eastAsia" w:ascii="仿宋" w:hAnsi="仿宋" w:eastAsia="仿宋"/>
          <w:b/>
          <w:color w:val="auto"/>
          <w:sz w:val="32"/>
          <w:szCs w:val="32"/>
          <w:highlight w:val="none"/>
        </w:rPr>
        <w:t>（一）一般公共预算财政拨款支出决算总体情况</w:t>
      </w:r>
      <w:bookmarkEnd w:id="43"/>
    </w:p>
    <w:p>
      <w:pPr>
        <w:spacing w:line="600" w:lineRule="exact"/>
        <w:ind w:firstLine="640" w:firstLineChars="200"/>
        <w:rPr>
          <w:rFonts w:ascii="仿宋" w:hAnsi="仿宋" w:eastAsia="仿宋"/>
          <w:color w:val="auto"/>
          <w:sz w:val="32"/>
          <w:szCs w:val="32"/>
          <w:highlight w:val="none"/>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年一般公共预算财政拨款支出</w:t>
      </w:r>
      <w:r>
        <w:rPr>
          <w:rFonts w:hint="eastAsia" w:ascii="仿宋" w:hAnsi="仿宋" w:eastAsia="仿宋"/>
          <w:color w:val="auto"/>
          <w:sz w:val="32"/>
          <w:szCs w:val="32"/>
          <w:highlight w:val="none"/>
          <w:lang w:val="en-US" w:eastAsia="zh-CN"/>
        </w:rPr>
        <w:t>1417.43</w:t>
      </w:r>
      <w:r>
        <w:rPr>
          <w:rFonts w:hint="eastAsia" w:ascii="仿宋" w:hAnsi="仿宋" w:eastAsia="仿宋"/>
          <w:color w:val="auto"/>
          <w:sz w:val="32"/>
          <w:szCs w:val="32"/>
          <w:highlight w:val="none"/>
        </w:rPr>
        <w:t>万元，占本年支出合计的</w:t>
      </w:r>
      <w:r>
        <w:rPr>
          <w:rFonts w:hint="eastAsia" w:ascii="仿宋" w:hAnsi="仿宋" w:eastAsia="仿宋"/>
          <w:color w:val="auto"/>
          <w:sz w:val="32"/>
          <w:szCs w:val="32"/>
          <w:highlight w:val="none"/>
          <w:lang w:val="en-US" w:eastAsia="zh-CN"/>
        </w:rPr>
        <w:t>58.74</w:t>
      </w:r>
      <w:r>
        <w:rPr>
          <w:rFonts w:ascii="仿宋" w:hAnsi="仿宋" w:eastAsia="仿宋"/>
          <w:color w:val="auto"/>
          <w:sz w:val="32"/>
          <w:szCs w:val="32"/>
          <w:highlight w:val="none"/>
        </w:rPr>
        <w:t>%</w:t>
      </w:r>
      <w:r>
        <w:rPr>
          <w:rFonts w:hint="eastAsia" w:ascii="仿宋" w:hAnsi="仿宋" w:eastAsia="仿宋"/>
          <w:color w:val="auto"/>
          <w:sz w:val="32"/>
          <w:szCs w:val="32"/>
          <w:highlight w:val="none"/>
        </w:rPr>
        <w:t>。与</w:t>
      </w: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21</w:t>
      </w:r>
      <w:r>
        <w:rPr>
          <w:rFonts w:hint="eastAsia" w:ascii="仿宋" w:hAnsi="仿宋" w:eastAsia="仿宋"/>
          <w:color w:val="auto"/>
          <w:sz w:val="32"/>
          <w:szCs w:val="32"/>
          <w:highlight w:val="none"/>
        </w:rPr>
        <w:t>年相比，一般公共预算财政拨款</w:t>
      </w:r>
      <w:r>
        <w:rPr>
          <w:rFonts w:hint="eastAsia" w:ascii="仿宋" w:hAnsi="仿宋" w:eastAsia="仿宋"/>
          <w:color w:val="auto"/>
          <w:sz w:val="32"/>
          <w:szCs w:val="32"/>
          <w:highlight w:val="none"/>
          <w:lang w:eastAsia="zh-CN"/>
        </w:rPr>
        <w:t>支出</w:t>
      </w:r>
      <w:r>
        <w:rPr>
          <w:rFonts w:hint="eastAsia" w:ascii="仿宋" w:hAnsi="仿宋" w:eastAsia="仿宋"/>
          <w:color w:val="auto"/>
          <w:sz w:val="32"/>
          <w:szCs w:val="32"/>
          <w:highlight w:val="none"/>
        </w:rPr>
        <w:t>增加</w:t>
      </w:r>
      <w:r>
        <w:rPr>
          <w:rFonts w:hint="eastAsia" w:ascii="仿宋" w:hAnsi="仿宋" w:eastAsia="仿宋"/>
          <w:color w:val="auto"/>
          <w:sz w:val="32"/>
          <w:szCs w:val="32"/>
          <w:highlight w:val="none"/>
          <w:lang w:val="en-US" w:eastAsia="zh-CN"/>
        </w:rPr>
        <w:t>71.38</w:t>
      </w:r>
      <w:r>
        <w:rPr>
          <w:rFonts w:hint="eastAsia" w:ascii="仿宋" w:hAnsi="仿宋" w:eastAsia="仿宋"/>
          <w:color w:val="auto"/>
          <w:sz w:val="32"/>
          <w:szCs w:val="32"/>
          <w:highlight w:val="none"/>
        </w:rPr>
        <w:t>万元，增长</w:t>
      </w:r>
      <w:r>
        <w:rPr>
          <w:rFonts w:hint="eastAsia" w:ascii="仿宋" w:hAnsi="仿宋" w:eastAsia="仿宋"/>
          <w:color w:val="auto"/>
          <w:sz w:val="32"/>
          <w:szCs w:val="32"/>
          <w:highlight w:val="none"/>
          <w:lang w:val="en-US" w:eastAsia="zh-CN"/>
        </w:rPr>
        <w:t>5.30</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。主要变动原因是</w:t>
      </w:r>
      <w:r>
        <w:rPr>
          <w:rFonts w:hint="eastAsia" w:ascii="仿宋" w:hAnsi="仿宋" w:eastAsia="仿宋"/>
          <w:color w:val="auto"/>
          <w:sz w:val="32"/>
          <w:szCs w:val="32"/>
          <w:highlight w:val="none"/>
          <w:lang w:eastAsia="zh-CN"/>
        </w:rPr>
        <w:t>公用经费及项目经费增加。</w:t>
      </w:r>
    </w:p>
    <w:p>
      <w:pPr>
        <w:ind w:left="319" w:leftChars="152" w:firstLine="482" w:firstLineChars="150"/>
        <w:jc w:val="both"/>
        <w:rPr>
          <w:rFonts w:hint="eastAsia" w:ascii="仿宋_GB2312" w:hAnsi="仿宋" w:eastAsia="仿宋_GB2312"/>
          <w:b/>
          <w:bCs/>
          <w:color w:val="000000"/>
          <w:sz w:val="28"/>
          <w:szCs w:val="28"/>
        </w:rPr>
      </w:pPr>
      <w:r>
        <w:rPr>
          <w:rFonts w:hint="eastAsia" w:ascii="仿宋" w:hAnsi="仿宋" w:eastAsia="仿宋"/>
          <w:b/>
          <w:bCs/>
          <w:color w:val="000000"/>
          <w:sz w:val="32"/>
          <w:szCs w:val="32"/>
          <w:lang w:eastAsia="zh-CN"/>
        </w:rPr>
        <w:t>图</w:t>
      </w:r>
      <w:r>
        <w:rPr>
          <w:rFonts w:hint="eastAsia" w:ascii="仿宋" w:hAnsi="仿宋" w:eastAsia="仿宋"/>
          <w:b/>
          <w:bCs/>
          <w:color w:val="000000"/>
          <w:sz w:val="32"/>
          <w:szCs w:val="32"/>
          <w:lang w:val="en-US" w:eastAsia="zh-CN"/>
        </w:rPr>
        <w:t>5.一般公共预算财政拨款支出决算变动情况图</w:t>
      </w:r>
      <w:r>
        <w:rPr>
          <w:rFonts w:hint="eastAsia" w:ascii="仿宋_GB2312" w:hAnsi="仿宋" w:eastAsia="仿宋_GB2312"/>
          <w:b/>
          <w:bCs/>
          <w:color w:val="000000"/>
          <w:sz w:val="28"/>
          <w:szCs w:val="28"/>
        </w:rPr>
        <w:pict>
          <v:shape id="_x0000_s1028" o:spid="_x0000_s1028" o:spt="75" type="#_x0000_t75" style="position:absolute;left:0pt;margin-left:18.45pt;margin-top:5.55pt;height:237.5pt;width:393.85pt;mso-wrap-distance-bottom:0pt;mso-wrap-distance-top:0pt;z-index:251665408;mso-width-relative:page;mso-height-relative:page;" o:ole="t" filled="f" o:preferrelative="t" stroked="f" coordsize="21600,21600" o:gfxdata="UEsDBAoAAAAAAIdO4kAAAAAAAAAAAAAAAAAEAAAAZHJzL1BLAwQUAAAACACHTuJAM0gSZdkAAAAL&#10;AQAADwAAAGRycy9kb3ducmV2LnhtbE2PzU7DMBCE70i8g7VIXFBrt2rJD3F6qMQRpLZAr068TQLx&#10;OordNrw9ywluO7uj2W+KzeR6ccExdJ40LOYKBFLtbUeNhrfD8ywFEaIha3pPqOEbA2zK25vC5NZf&#10;aYeXfWwEh1DIjYY2xiGXMtQtOhPmfkDi28mPzkSWYyPtaK4c7nq5VOpROtMRf2jNgNsW66/92Wmo&#10;nEs+M3p5X06n42782D7QVL1qfX+3UE8gIk7xzwy/+IwOJTNV/kw2iJ61SrhL5CFNVyDYkaxT3lQa&#10;1lm2AlkW8n+H8gdQSwMEFAAAAAgAh07iQB+IuiALAQAAhgIAAA4AAABkcnMvZTJvRG9jLnhtbK2S&#10;wU7DMAyG70i8Q+Q7Szu6CVVrd6mQOHGBBzCJs0Zqk8jJVnh7wlbQ4DRN3H7b0uf/t7zZvo+DOBBH&#10;610D5aIAQU55bd2ugdeXx7sHEDGh0zh4Rw18UIRte3uzmUJNS9/7QROLDHGxnkIDfUqhljKqnkaM&#10;Cx/I5aHxPGLKJe+kZpwyfRzksijWcvKsA3tFMeZudxrCTORLgN4Yq6jzaj+SSycq04ApR4q9DRHa&#10;o1tjSKVnYyIlMTRQVdUKRPoWeVW5XpU5/1tWZXVfgGw3WO8YQ2/VbAgvMfQn4YjWZQs/qA4Tij3b&#10;K1CqR06Zpeqjmk2pq0n/e2bBtdUN8JMuv24nfyU+r7M+f5/2E1BLAwQKAAAAAACHTuJAAAAAAAAA&#10;AAAAAAAADwAAAGRycy9lbWJlZGRpbmdzL1BLAwQUAAAACACHTuJAdfIt54knAACjMgAAHQAAAGRy&#10;cy9lbWJlZGRpbmdzL1dvcmtib29rMS54bHN47XsFW1vbtjZWXEvxAoXiXqBI8eJQ3L24Bac4pBR3&#10;K27F3SkuxR2KuxUIHiS43rT73LP37tnfD7jPdxZPQubIGO9azLxjjpE1XxRl4RGewSDCIMPAwFDA&#10;+L7k2PeChYEReQIDgwvTCasjamfrbGrrbKDqbm/qpMfiZgN4kd0GS/cFBg7q/9/j/+QMlKoOyXex&#10;Ybe8PMGKqaBzGIKlmKpFIpMsFLuGMbYjLjkR1b88vyzF1RZRoyy+eMpY7WLmYjabM9DLOY8KZ2Uu&#10;y8WEyATPmD7hol8dNS/rM8Ye3skwzoNGvQhXPXB1Y8W56PEtvJg5oTRyXMg+shrxZaU9GdOyKgsh&#10;zi73cCOBIwXomx2SHx9LesR7YzJcRJKoFSnh76jVRcgnaoQ/1lMDJd/6gfmYkKNMo/QMf7AkH7eN&#10;K4spj2qok1aCyotrEbY2J7A1xj8tUz17oKXotYF348K7gXlriIEtp+L8hQ9EW9hdHTIPCXy+8w7r&#10;+5plmXeqlqLpouDMgjFW14IqEsJCLhuXexOFUGTh3mXzat9XtDCFbfxEF3ZebcKsw/JZYz/REAU/&#10;SL+l4Cg+DD3NE4ZLBBQKq7nbpSHmRMJ03tQ2v2taXpt37G3pfJuHDg8LdxlbAj4GMLnw1jjCrX3C&#10;Y/09l7u0LpmR9y+kCNbO6FxkE4qjqL4tItnfQRPq8REeRvFv6Ra/d1aPC003O3gYGDSYSlgDR1OA&#10;EyvLz+cX2aX/TbP/Q+lVOrloBU+Bjbh2+3ZVpGWsSRrrc6ycrQyFax6A/H12DVL1m+waudOLeGEs&#10;tN266FbVvlUFpMR9v8NuvsC5WMZN/qE84YKB2nKWTZ1rfs9oSnYeeFJepk2cHN2K8oqEijnYArkq&#10;S+9n9D09b7mGH5SKCklqsTlOdyZkxDvgCgwL45Fa/YinKceO1K6SKTT83lW9CkAncXop7n62uylb&#10;HS+OCI8uo/ItGUsav0HOFYfan7gxOvBMNiWyIJSpKO8NlvY7tB/59TpINq6Bp18TDm3OU80fgFhq&#10;aiUnIc524yfJZIWGPdy734sEApYTLLgvuFxVtJ3Jkw/IR95Mh8fYFlCt+44TcW7QHT+o5CKumpxD&#10;Gf2fXPcV/Jx4Bv1Am6CVgxgGGdYNwPoH3V3tHK2N7OysfxaXf1Ef4Sf1oSj/fx+lsWMy3WzYvUef&#10;jrBBtpPllJSpYHH/Vivvj9HvUqttnrJvZLa1ZmUvBpi2nj29Muu/vGdPPgRbP+9Gotnz01DEo0Y+&#10;o5lbcUVdSdlORcLuXtARQIhCpaGam57VWCR4zrktu3kjRdnspryWtJHz2eR5ZEoo9vi2PMlEIe/Q&#10;1EDhiIgrHbepO+vkBPwerkJVPerEysoni/ykuMdLTJtFEi9UkLfYmDkl1QnnJlKwRAGmVkcUC/vL&#10;fshJ6usN3qgnUbs1nyFaekaFMyZX6LvCmDFRz4HUsU7blMPLKWybzm9vB+krFk91ErZWB/rjIkra&#10;/5EzgZgRvKLQd5CgnMGCkgHKmb+yJVxJzq6TDb1VYQEY7EXOjNwbJDWeb0OciIKCuF3qYCmWoiqt&#10;adjuI8+I2Jd+YE57ND8G6SmaOCBJ15ix37lUfm/hyBg/73S11CLw7uP1i/BnC8Sb9hJYYQcPtiua&#10;rlfVF9+Cv7lhmiKfM0l76RtRe43NWBSqaGqECH8/xDXgezaRGJw1MfBCjjxOhg6etGv4PqgLP2Dw&#10;pAfUhyq3I/XcCsfCy6B4QZSL9XOvTT0O7od7CoaU21xfy/WuElVY6iAKkcW1r2xwoMhziNLuHGme&#10;sVR1O7VGpPCSS0nlyayH/0GtisRCILy7a9tAal2LCvvnzQNnnhch5ReRVgaImJMDbBHsAxgf9rGk&#10;a2OSXa4+nJUqBAU7SEOUwGahT+s/3yesnzITvDHgxRe9tWcjjmOx1IywPvcbNuxYL7p1bjS8QPun&#10;HJ17cMjFh873MPTx7I/5drIwdDQ1UXF2tLQ1d/qZomlKVTLwItiHTx4N51cOQM/G7evp4T6lB/h8&#10;c+QeYF4aKefz7HDmyiZ/oTmPrI5PGfrlOkP2mFUXizl8QXPU0w50spLbFddkpHJswmTWshqXBguq&#10;Y+MZuBpfX+nFNH/Gid9UjUyUCXuSpW0gGwIX1ixFxCpqD09Bx5o1M1WDycZuvG9N+mOH9lMakp4i&#10;CvaeDJWybZg2ySZTPUZguGQc4ogDfE6FVp6J6oIWev8uv3YfCYIPqm6VKkJ8KJZ4gXLY0PbFgYvD&#10;G2Bz48PAcv12RbvTUJ+7p0MPl4ZrAhZO+y3uqvY0bXX7Yhv/h0pGY6WOTaSMCObAe8qZQa2kRkLY&#10;w/4f5ou6XmHR/WIPt/7Bq4pH0Fn6z7UuDlwCEIJyNhcBBgbjX/Po7A4w/TWBuaojoYts2G0EN5hv&#10;L7uFUgEb7z0pUjGe1SlK4XuoAeZxdvqkHO21PfbL+gTF7ASO8uwmAwR7IwF90pp0TK3dOePD3Kvc&#10;HDJek8iRF6ok+Saf/KqicOKTB5OZcO8qtSLMCIlkTeQbYjk7kKyO5W4u5AAHvpPnkcphMG9TEI5K&#10;y0AZ5tWkeN3hauLUS89k0IzWC2XHVFNilxqoOlq/X1YIiCR1W+rSWWIMqjLbfOpaiekFcSzgYrbA&#10;HeQ55DdM9MPxY1sKxCIviPPf3zxsX0ZxWUnWwqrr/ZjuvuYPWlXj9ZUAg+KRmaNhqXqvqQ3scx3E&#10;S/O0y9c+eng6FX4s8wd9EFvgSXyI2lGOE8WWH3vaUvee2C5+1FCzT/7J96LR+N40fHwES3Xw0mwx&#10;qk/9oDb1t34i+niq5++OksZJXtDmpFUsCwvhEczJ+Zowq3e2jeGil6wvuHGKvLVzcVumiEAxz3um&#10;2olQWMfkBBlak/pQUkD/scO9tfwGSCAhd6KNqAh5dxNw7PvCES12raCvr12ofT0LeWEmXIemOba8&#10;SBTxPWikKKJNxWYAnyzM+ljxSVPy5KepJdvAIYTMAyxO86/IQYVRgAoAWsxanPdRPqluM3Ft1SVi&#10;wvO2whmmDgMw/lH21jLD85G7HgBnY/akEqcek+TkwKFRo664z86qzxM58PVo6vvTHyhoCZamqoZ9&#10;REwxDKgJ44lRPKfZGxyI0Y3r2HmeVa3d5wOJazWiku3LaF8w9PhDj4ePL2MFoT3ifzIt8Lip/xra&#10;WwoQ/fzC9muFdLYwtTFl/fX86mfCHmiNRZG8ftb28kQoHCQfdwCSrLGqW5Cr1tux1XltqRQ1Gs6x&#10;0ctBNj9q6yR6iIOCoqTIKhWMhoSgakUdTQccSchWzn1A4/ekweVzmDssRhJebqXKOBIA+hxde15s&#10;Tmx5opxHshH455G2u2TtefJgaEpNFG6sEoO97ccv/cUsg+lkHfoyDdcNVnweW2UtZHt5OsjmCozQ&#10;PtxpDgJKlHFg0V86+JryBJgb9+JSrTNGMVBI9q1xZ8VHWH3VksaW9mYVR2loFSSLg/EcA16fb9VH&#10;3R02XgoG0CvTTwkLXwtf9yaE9AbGpbwNTt5RBpNSLJwYZkeTYp0I7Ho+Q0HBeuOj9ngdfyiLV6tG&#10;qNTYO1O5OAkM0DPEluc6S+Mnjo+b2Y/wcCo4q4BVLf9xU+ZTs8p0bwmDCqdpOdpzNj9nc3RB/GQG&#10;ZouctM2zbMVspJPkgVuD54hzqj1g9ssS0PtJe/1sAJ22G8bgSQSeV+vKws4Mcwvi1hUItU1teXda&#10;B1/fz0hmYgC1acHC1mW7hJnCWOIy/dglp212gS6NVVERw/RDEX0vU/y+FbOIK9Eq/Ec4ZSrpvQGt&#10;wD66j+xgShmJNDckqtC8FEQbQxP+sSC4KvZcszOxb9I0fA+SRJ8iqo5vbuaxKjIFTvSFPL0cH3cH&#10;7jMVyPh5Gh9VwEPsS5KWJsRtN2BIe9tD9y1kgLuCzGe3Fw338TYqU/DxEI0b+2L803hYBdnjydlJ&#10;mGRm691DFnxb13i/P5b0pwBXDHJPbi0460nfquQNHCBHmGF4sKmv0fGh/XJi1ZMWLtGpgMUel2Nb&#10;p2hsguPBs/KeD9iQIqrI5IrekCf8JuFgdjD6N7XXiTjr65wRS3GQopDmkO8x1mAWmbKpiwIiC1qH&#10;xoPeuWx3v2zVbOQCTY89otT3B5rLpG9LG8hiP3J09E40i7boiaVREMXGqEmh5XjHCuubsXyKtmLk&#10;Cqpv1ZPQKwGvvyRBIYFTQrqmyFcnrPhSJBYytIVNPYV+BRtbFbb5vhced5bgKTup4WCLT3CA/bzu&#10;dqX+y10NEcElS6Hcmm4JR2kalkyk4Fe488ZxtuGxwwGk0ZxcVeShKJ/pTm3Zdj+Rs3sGFR5FI30u&#10;l7u0+VTmnMmCUC/MKycTBqekkL8UM8SYpHXOlzT+qlPbVHiOuVVeyqPYbZujJe4wsr0rxAlywBpy&#10;/mYJqJjtaZGy8q2SUV1nii/Ap+D7w6N+1uzhVn3FEBo9Yrx6UMddd9nY6sDCxmWS4ptojlAsf0Ff&#10;NAvhdTJ0Bj7vy+6tD0xh6zkLA2y+AWE8E1xk5qfGlBsi4ew8rbNeW1RPA/al3Ihw7a2nuuRXURUK&#10;BijQIDrmZfm2SY1uyFQEG9MSvJjciMk5qWU9csXOFfMSN718tF8Aq/7+r5LljCZFsl+Tq4pMXFoj&#10;p/j568/rGI67VDYULo2pfO2EK4zX8sWNRdoujlwt9EMh7PiKovS8mH+rKMNcgxZiY+ahx1aGWtjZ&#10;HJENh59sy1hunVignpi4QMRuE8M2OEKT9TLHMylYKThsTzXHPOskv9GWVdlqXCWLzsjwu4XeHS3+&#10;9sjrOWZreDm5vC9FrksnqakYdMkwpqRA9HrXqyQTRb636QCciDVSzRfubetjOUxEBNVBYmlIumHy&#10;5YgoMUmen6lIDZjb38HLfQ20sP2Kge0PZG7k6h9sj3hOtSzPThbl8GKkluQlw8S1huKVLmOawtfr&#10;647BWDmKZT8e/gsJ50E7SroqiZJ8OMKnsBVuVu6conB21LIUOlOrysYMJrNezIXWdOSSnGFK40rv&#10;Xo2taw/KvrnRIYLf0KkyQy7Eic3GiaScfj/yRXu59oCYN+ir3qXzSzxeUU4CgUllvOnXywxmI2x2&#10;8LJV/AZx3JojouiHEwfHjc6ssrae5R9kt/2rZYW/DV3xNoGJiD+J2LxKFpd7pR9vmDffU7jMB0Lj&#10;D1jQSvHPuhlpXMxriBfo5CVFzyiB+C07Tnd+d/Mpn4qZaTdIamerHNfDjiJrGUpXpndmWL+Ej1wT&#10;5vxuHqvMVbt7sfqPPUkXMNPQCNqTGEOrBeEfleJnL+1kYWrq7MT669evchGuKue0+AK71TX/0Xdd&#10;31szFtedydSoKOPie7L8JJc5E0VYCMKz4OWzWXOROhNqwc+4LUi3ZGjN+83t3kGYqpY0boGirN+C&#10;T2Wmwo847va3LyaZJRaw9ePk7VPWCYpP9B5Oum7opuJs6V8jU9qnr88QNp56632tpV3AjXV8T5zl&#10;YfS+6KItITR2gXSPD4iDINtOG75B0Slzr4A+zlmanVeY4Tk4gi02Hkl4XKFD83p09jX8qD4y/YLJ&#10;laBuPMoF5KvKw8iOksFwDEUz0sL44Hfipx9jWufkg2mbTxiFYcWmbP0ipBi6MGu/6CWujxkiDFxv&#10;iB08p7pT2nD0mVlsMvHSKMzHcAe/o2iSVE/l6qIXNBbqPkEzvZ35mNyf6pXYHe1V1o0jkvEtP6Hb&#10;TEC3Z62iek3gi/2g2Vo0kvUjDH4xbn3jZievhq5jGK+GvuN4//WaMWdNgxXi9/FhR/6dcFv8USPC&#10;J1UEgbucoMXQyTo3IvfdkTRGJFtHPieTzC1vDxhS0laU+pC0HKrgp3ahu8P48HiS0nsBKojPNTCX&#10;nI1AlG17cN/Hxfnbp3oFtyiCNDI3ej4GrRw+Z1W4lXSmydSNR3L+DHxZI53mdSfv843gaBPJK5S9&#10;H4uazUtj/u0kW+kn1lVkWwDvPNY5ZVacvRKyzx5/nTPV/KSd2CHRbGEORgN6i2mKhAh7pHNIDLHV&#10;BoO5f22B7Vosn2H4zlgJ/g1mwFMU/iuECGxQC8+uoCKEKYYqthjpAmtYRAC150tXQ2+sIf1nJX8i&#10;a2fkug9K2LtzGULskxmlfoH78Maewwb/+B0PI97rkzIODEy4PAwMPpSXJnbGio529k7QDuaDjZGt&#10;oSWAxdXGbDjNJlyvT6tve6V139sVXH7YTdN7UG4wY4XruXqoZlBdp+MZovKD5pmyykuCeS/72WLq&#10;YmULNhJ/pqwXhkXkxOK1ymUJiQo2uLTiwVgSDLaySrhFqPMBlG+lv9Ri8/rO9GexP64mQ9L4tpf4&#10;POvqWI2ytwUhLY9jw2m8TkdkBT880vZ5+EG67c3N4Kmrpa9gFu43d2FHfF6FnwbVlnC519UEA9N1&#10;GiRrsVqdwnYmXBRDTXG7gRDB7QdIAd7pyiVpb2pSyanSiG6qwfbSkQsPdxncEY3l9zZI0DI4feh1&#10;AYL87lKl1O6KfnJFQ9nerPj0TXw77YGJzJWPlPM7/6MdL7nZ7cW664zSdlHed0KCBnKO00/r85Ak&#10;QM3sOjYZJyc2NUnn9bn3qdx2TRGWQGEvukMO/ZfZtuMWxXFHI+pN+vP7lNYg3Blk6/pBAshyfm43&#10;uwT2ZBPlwyN1UIJBoILe5fx2+xMnPvHw10mHC1U9vR6Jd3WhhJeVOMaNlcuMxWENDxjZWkp6/sMN&#10;SXaJTrJY0oLxC8c95rzRHS5qnD/KdycXJuBnVEK/rH4PFCghMHp5FN1faaNgCsGoSmadC0YxvTn8&#10;VifqLgrofwWY+4aIFDVw2IlYjk1yT8gFeO/n17fpYqgjZT3Vk6yy+aeFr5xYF6iHwPUXk45qBDaJ&#10;IzoJV2VHh7Fjc2W6xt/Hen95H17SlqBOdpDUSDTSsAsRn8ftHXQ8VIzzx5jrj3HJb2PT6SS8afED&#10;ij+v85tEOkWM4Qa6/xJq6rVjRk/fJg704vPZibhKCLoQEb0QVVgS1uD2031mMikaUyJI2D9oQ0/H&#10;xTPHhK/HVymQ08LZFfi8KxDjuX1lh+Vhp0tXwVglRV+lITzScwD+Igug1DolIrUMou4UiuF69X4w&#10;RLzvfGnUo8YJiIQy/XBW8phg3+XrU1Mo9FWAykdGzMZCjHPubRvpO/XUO3W+i3tY8v5eB854ZsmT&#10;8MgjqT3jKppVlGG1rbojroRV6GlmMq87kdCuou2QUkcc5NwtWFtvzDptwr8v8hgvMidfg7RdQury&#10;vatK181P1l9PBh2kSKrMe3Vds63GTPVtGg6Edx3q1ky/LBgJ2uIG9ItSQmwCMMh7V4061AiWMblS&#10;o+S3srx3A/ZRuJ/v2AhWlpkKHte4VQbOovs0g5TOY0bq3UbmJJTJmy8MB+LFgHKZM51HU4arB+62&#10;528BUyJcvxB/EsRL0cRR/N6D0mCy4Cu2why3Z0Zcic4ZI+WMAG9U6B6ldkG/10qWYBuJGKhZ1Fuq&#10;naOF0TBAcPYKjRI0TtwuMj5nkMgYFdK2jS8mUg4PKmnRytQ9eua7Ht3P5u8GuNusMbG2SfeyZEi2&#10;h4jYed918LIsUHXmZ2LirtC3Kb2sUpqo899xBRkxY7XpMs71K3Xbb5TV59pM6aEhlgWYkBW2j39A&#10;gRcDLjMbXo2fP+pzIFpxYBJnPhNN3HMpERRr309gazkBYc2G+y683xlgcy6xjdoTPWu2Q+kCtjyA&#10;Ul4pkqC3EgWSTR+qeQf7jEFBZo/a28zQpxBFDQKzND7cqpJnr3rKEj5cG/hU/jTD7y+uEngXL1bc&#10;YN+36XQeR63er/xCgScK9JkmVYSiPEJRmoFuNiOEhRiB50SBsNN6P719od4Tg0JlRPBfIYQzJWC9&#10;Yqxxg3YadL74oFfTrW2cKRfzmV0PLycyS64EDjEWpfJy9D7rH8KRKzxM5GB12RXoubvE6fD6+Byh&#10;mWdmUI0p34u4gtdryGcD9W855leo78dyn+h/Xrof6fIEStatbHPzjjpdtTLcq0zkdF24nzzGguOK&#10;Ir2+DqUuYZELxl6p4tXfLdF4k83zlY7ZXrOCnxd735tHHdzfgQevjg7B3g3mpfVB7gWsIMEWb8OK&#10;/duXAhzWYO1tP4JCEb6Clh6JtrwVJHfE+4tEQQFVnVis2ZPbMAWFma07glg+6sybBi6O16m4GVip&#10;4sNjc76uzcyWj9PA9ow0gu8cd0KsHu+6U7682Tdq7lcY+daB5fV+7ct8w0yQmKFxm2Vfbpp9Fwry&#10;R39394QYVwnV4bAypiMTqiPdlEupsJa5wVN58VMyOYhPpbg+wNS94KW7Qq670AQla111C0dMC7kc&#10;5EH9l9uoxKlgDOjeD9+9Kn5rmWDgtojzaFt7s0c9wRVIdUQw0TJW1/8TWpfiSLrn+OAu1ELsTCM7&#10;VEoherONTSeIs+r20+37twVdhpf7862Gl33S8/0nGDjXBvh4EGPGsbF013J6ocvzLM4HnBMRpaRV&#10;gOmGo/B8B6Bh4DYXWVchLNR9RD3h8n1Yy6o8xKdeXL8mfktgivKoFS/q0uYHcGV7FY/HSeGq/CNq&#10;cUzqJYLF3TJQUZfCymeUWYEo8LKhN+lQlfO2LOOV7Ay5IpBzugYYWTh2lZJ+7ylrZT62knYxP1Rf&#10;FNWiVytiAiTgJi+q1sybgSzNaozkt2aeS4/IZd+KbaJXzAJ2jKzvkgBd2ltrtKv041o4vI9iqsOW&#10;dSmAqrTNZAHvm/sjnuvkArCyEFXJSdrZVAMNwwybjlZEa4FdqfZGnyXGjFxV4PygVcv5lUAUenPR&#10;ATEhLUmJ+LlraK9YVKiZWM9J3wx9aMS0cbWcVVSyvRPYuP3ASQeDx7gvyZuS+tRbSbU0gFQnkU59&#10;X7Rabke7d7l2MWcll28CZ4bhogyM1xNz21SoOQvY+lBw3tz3eW+00XtQpRRvcCrgwpqt6PajW1X5&#10;POHR3DlZnM3Eve6k14j0mBcpDt422qI2KIxXx6ZtlH4sNthrWKMqYX6O0eiKPM5G4kP+WaOkxtNI&#10;pTms7RCPWfEeD43crhnq0Glj73e006DY81dbb4oN042E0mgdORR6moZx607drZY0CjbbVZxVz4J3&#10;/LJ/8BuWhBjNwtUpCD5c7LR6Kl8UiG0a+oS+Hp6hWLR6rTnOAXa2tS30Vj4LDb6DnuHOjHFIKOvu&#10;dvI1YEPBJ7iKWmhDf9iurtohc8I4rmWTj9poSSGY8DIqOHQjsoxG2+bdXYNC/RKHAkNCFTXWhn6p&#10;IdTVEMlYofJVlTUP/TIj5SkH+A/Q5PDboNTTxYa4TAdWkPlSVXzEbXjzccl7s5ZbcXihjuRPTh0g&#10;TnkmPpXvBfPJRu+875oUi1uvTq1R6lN2mLHqmGM73gKNFwjKD5Y6Gi1diwvaZWvVxIQA3ToYgMvQ&#10;vWyl8WgLdVWCk0sBEwheBvUM3v53L6xcQRosWTOA3fYRjnpFMT9FHWkstCsA6XQHYgCgFXIxBEOX&#10;guvmjy6BpCV9Dn+C+IMD6BlvIAbJ3Np7v3rcRYet7Zt9yj9qKMlzwLGLkY7qw7+7AkQ72jrIIPn/&#10;Fvm5tcNuF6XrfzcePyFZ6IHBGH8A5lC68VXpqf89vOTv4XWldzXZTcECCH+5huhTEq69smCjuePX&#10;7+xNRD4Y4C7vbu8mc7YbQpsNDgOeDVNocyKg8g1a+c3a7CuTl1gA3Khz0cZzwwSYXHGLASOj1lwF&#10;0B4DZH0ZNuD6VEduW1xnX2jgOhmyaxah0R78wOWweZiNQckntDqwJJPKOSRAE5KyrJ/urS13Ntch&#10;tUiZTX4rV8mwCJ4KemAZV8e5N6ohnju4sxbkql/LTbZzezjHbyfQJpdHN3T1YK0iDsTgrQMPE7Q9&#10;R16jBMm/N16OYNB4Q869WvGwQWldB5LjwkTcSQpuvPGXaox16WjNKOMDgHQculayzrdHuiYUwoLX&#10;V9NbbVaABPNMWmzka10qOQro1jkslPlvVjXN9/MW6bKnxc+ssyNl6vefHcniP2t92AvFntwfcI5n&#10;2Md91DZ9sT4t8/pap6tOjLjkivtj6FMtL8BLci3ih1dRt5yK2qlgMLEFA3H94z5P8WOUxLdHNPbi&#10;VdZ3D2++40nm6JBxx+JAXglmx4oBSm2/46bMYRAvj5u4shnQx+leWotpuUMEIr56qc3KmQjORtdC&#10;HxdcdtaRZXSYY14HkUwuktJMGddz80wudVT4UMtb/GbFp2Hmghdu+J4tvyxG+M2avyxe+J5tvyw9&#10;TBdGv6JktQ7yYjX5IVWJNXND1FVuIGMtGx89PeaQHg7y5rQelsTuH8lRpBMyX8+9Cn/YlM1ApJ6M&#10;eTHRGoS91nFiuoTN6Jnj0DpInsIPe928PJZGWAbmoK4ys+te6Tey+9yd0orjyTafyq0adJZOzaX+&#10;4IGlDsCC2HV5HkXmuijg6Tm0E005TV0sgJbBPoddupBeBsGHvXlTIzqGRsBI1ZfwHkwaHoYBjo96&#10;c+37h63Wu3hfRJ3kGjqXZ88wWtTSE/lX9ordgrY05F4RrUgcKJpZ61N/WO+ZlFhqRzs8ccl3G//a&#10;aX2DuCJieuqGJHv8Y7eE8zgyt0qUGGgXtk4qnbl+ZwXOXN7nTOjmzGhvAdbJAye3Brmmm85mFEX3&#10;ZtxzGGvOd6bm06VbwQVnZHk957u5i6nS92/gL00nPjZLMo7zzzY3n5c0Am/ROH3MiDCAMhcatSwk&#10;lvI0FwiHMhWueqfgqUjMR1u7Ez2DoTV386dOcpehI+nAilkdHVOAj1M9Uw5Qljuj6lpgqTr8IX3R&#10;rRdUbzXEfsNtsUGUuhrDPLSzGhRhDvDZ+Ap1bH4NdbyfhjrqTf90VPrpqPDTkfmn48ufjiqcCeP7&#10;95EdRM+JRusD64vt7F8W6W0auvuucLefc1d0GI+wObheqLpjBernDS6+mituAnr20Hpy70Zu2vO/&#10;WirjW9jvVV42+ZIq+0HFF2xRnIrpTKu8/O7LLfQlhrNCbpO3L1ilyBb45fZtcaqsMz8BrWc7ZdpB&#10;OO5GF+bU8gDEsfqSJD+TrbU9A7N1vuc1mZRjEnhAzJWt4NYlm+/z5LIOxYVAyKgLJf3UHV3NLLvs&#10;uUnmhE5+g0GhaklO1ENvhffBmRa/Djf5atympRcEdXt0TNMYv+p1BowX/OIXlfR6la4xR4hr5+Yj&#10;bNzwhbwAVrqx19VWwLVQSZsT8H5iFnh86poBvGc5F2Wv2H5a0X6/YQ6cGizJAN1UZYiMth4vGbTx&#10;8JtqJZHbkU9WkMzR9tGC2m68hZyWpb9mUfm8W/1OtB5SdLIrgNsCxHkwF9RoGTs7mMpo9OaNshWY&#10;bch/dZ+XUUIlKjA+bBpP2weJH2n7/CKVKDNlnmNe98PodfGkCoeTJ02+tnq6dbEHZ5nHVjyrwVBU&#10;kEGf5Hmi+8zJVEYyZ86uwcm+59iD6lHFvoW27w3ZZUhlpzPPD8HJkNpO56xOlG3Gd/gMaVKMH82Z&#10;S+LiZzS9R0pUCBIFWq+3xsDJK5yo6QY1Z8FYwD5hlgyKkQoHGrT2vG6FFTzupR86g5jpPwrbs5qM&#10;41X4qtxucKogSwB8Pp2fWe9CEaZH9zOfPfnDBPR/WV6F6TH9sgiGCRj8WhmM8D2rfq0MeUwXyr9W&#10;hiGtg61fK4NGzVzJr5UBukT8YYk4H2ZVXpm5E1i3Xug7Yepd4N7Gu1czP9esWfQgG2zjrSis9yid&#10;J6m6GHEXB+JpCcwcRGjeglqqBzWv97/eeto0xx2yCKgtvk7JTCfb3xtbq+ZfEK7Wi2w7dPQeWFG+&#10;sGZGDm3WfRkU8ZS4XeWkGQjwZ6wuwx9iPa2ai980ee8i1JkmU8cIEiZvT4Tsw0U4IXnVB0cWjBTG&#10;HkgXHHc4jTY+4v3j3UHVsTdZatD7M9bQO4Q4UHXGv+/CGNs5mv7cRXqR/V9RBnTmYLxiDRT82J71&#10;rMrdYeYefe8MH0XUvIsTaOwWCw+zk/PsI7bsqIs7XNR5L4ofEXXIeznrZJvCclGM2vZNU2sfvQdH&#10;BNZCH61oCL0Vf8g+Em4/Cb+0+LXJDgw+8+lQ2Gfuz7OIGXLLHx2eAtakF5RXTCz2dUVf1Xmhhc73&#10;89UScH9VGr7OoXfoukJihKX11zV+EokCIgR/NOR4Oo5DfxUMcMnfg/1kXCjs64LfpxQObMEMrwZi&#10;ng12F+XycbZNvgJ/Zr56EQlujc+pslksTD9/5fVAWKGhwOo9rbhnq/FcMQNVvhEWZBVXcW87dC4P&#10;BCdhKvMrNTGrDzfFG1xJfGoQ2nR9K81cxrFsEQok4W9kZV8TQRAkJg1N+1w/32VcJeb+9kdJ9FLg&#10;iZwI6HP35+hL8H3NNcuefVYk/QM1jYMkFeQTFWfy+KbZW37YU8HL68v+f1Z9HH4BBEZDuXgP5SL2&#10;X7loaG//Xyr+JOEfR1psh/wGG3bgEeMhn1ibSsG0VQBDHx5DqcccXrx2A4n5hGaDi4lCToL5eies&#10;5ep7hRYMxhPCd0/j87+hZJqByO8h7oBX8+U2yqLBvc3hGEj0st8sM0nqB+emT2cH6GUpGRIZ90lN&#10;AEgxcpuXdkZkXk9gMbr9mXSHNUM0I3ijmvy/hsLHktIHYFkHfA7EuxQ35EzzbNXyExWUmcx8XofM&#10;EnSX68Fhkr7R0FuRAtLn9jrxaCxB1gytKa6WYMzVGRSSQCL39h3oUffDa2FFzdb5uILgx5eMuqLQ&#10;85YRTYU9IaAaB0HoWTe6ak1tIzuFjNJGA2KEINX40viCBFOjEg5xWvg0A+FWdGVKHYulsY44+ulj&#10;e992wW1iUPunuJXphcrVhagRLF4ACR2PLQD9DebTSJRERObuIaNyOB84/gP4enRS26AaOtjK1Plt&#10;a7t3cSvuj1xgLn01WWA59kUJH0uoeBHcZu1hqw9dMJEN81yviTZD/SevVYiSBdlN0+2IIw9xrvPC&#10;5fIsgtCdzjXqP+3M43xrvEKAshgIfeD+lcXGH5yc7Wz+S+T/pTEMTFr0iJU/G6H4ZUCbaL8gyLyS&#10;lPqNavq88/jbgppEqlFkmhiqBZndZm72+3nXawchzG39Ns9Z+KR4SOvrJ7kovsJEhqZ2o0+8BMi+&#10;48ORa79c7CBW+ybu3sBoZ3dVU5PjmKVBJuZ/8qTFnw1E6Omg1HQuHS737s2+M8mP3dE5Fz1WVeOe&#10;3HiUJBzHoJ5Nv2mLu54ORtbMLmDMROj0aGbkEOEH2QcMA+ECUVa0q/HcD5O5VOKAzOngp9pZgLjl&#10;l9XU/mqlgiZYtwrIvefJIu+1SUuE2vjFS9PECvN9omm3KD0wr9nartdkJJQD6eR+BEonTGD0AYn6&#10;hFCp+0oWPzSe/luIBQvHDBVd/bMS/8+5+uPVP+jyFWX/DvB3bfFfAX6qjf+iNP498O9Czb8G6iD+&#10;Epj8P2Sbv+P8Lt77EykK+s8Gv0n5fg/+XYn2Z/Ajyq/g/9Cl/Y7wuwbrTwRJ6JRDT+/0b0XW76G/&#10;i2r+DK2Cqrmgob9LbH4H+H2v9U+ARahI519/+n/svP6O8vvO2J8oTtCNsn93aH/bJ/sd4+993Z8I&#10;MDDXtH/B+N8u7/fwv5fiv4YHMPwl/F+F+ffovy+Bf42WZf5L9J8LoqLsEyjFYGDQoT9PoCwNZv05&#10;+h9QSwMECgAAAAAAh07iQAAAAAAAAAAAAAAAAAsAAABkcnMvY2hhcnRzL1BLAwQUAAAACACHTuJA&#10;hgJsrm4GAADFGAAAFQAAAGRycy9jaGFydHMvY2hhcnQxLnhtbO1ZS2/cNhC+F+h/UAXfCnul9a7j&#10;XUQO1lo4CGonRuykQG9cidplTZEKSfl16qXoH+i1lwI991IUaPt7EqD/ojMktZbWjyRtDbRBYsAW&#10;X8N5zzfMw0fnJQ9OqdJMiiSMN6IwoCKTORPzJHxxvLe+HQbaEJETLgVNwguqw0c7n37yMBtnC6LM&#10;UUUyGgARocdZEi6Mqca9ns4WtCR6Q1ZUwFohVUkMDNW8lytyBsRL3utH0VbPEgk9AfI3CJSEiea8&#10;epfzsihYRqcyq0sqjONCUU4MaEAvWKXDHRAuJ4bGo2gQnBKehFHYw0lOxNxNXC7W06duUsla5DRP&#10;pRKgxtb+MhtPuKFKAKlUCgO3eTnLd9JUSdRJXa1nsqyAuRnjzFxYdoFBoJ0uJMgRPKevaqaoTsIs&#10;HjSKgM9rqihZpqSWhdkAij2nhcYaSPZBb7vX9/YAYePBWJsLTp1AcdRHaXvLey0Le4TzGclOUDet&#10;zcutV+t4cFUZeMqaHz8MM5ziBycXsjZW3RL8EoYtlcI11aHaeUjGQu4xzmEbGXPRmeg1M7QoaGb2&#10;NRLrNSfhpnO8RrFsgcdmMr84VI6ONkcosR1UuOjvymnx3O4B0nYK/1qajgoQR6L4p5GC1EYe42BK&#10;OTU078hQcWkmipIVcWdEpRhSOA3fU6bcqUxy52lzcLUKYsdP81qDd9HcLZ4SdZFKLjsuCFJTUFc2&#10;Zvl5hwWpcurJe992atFGPacFnih2jhaUmviztd21GGWzs7CeEghu3FGZFFzfOLqx46IyAVyFAYM7&#10;TnfefP/r629/evPNH3/++AMSObVqqkBGGFwRcwN7M3x6Vrz2teQsR2OjRbSaz1LuOR/sbce7U7wY&#10;DNLZ9p4uwQR4mnlSPKVziLRT7/NeMfn+jGuUJrembIkLrC4XM2LtdpP+Jmv98dpkbfPtSrSBg4rt&#10;KrEfxaPXv/3S1d/Vttjruh/1o2vb7lCzZxkSHEon6vIGywPnuy3OYdPS/C6ppzKnO48ppD7CrYA2&#10;1dvZVRe5Rbp4MxpsxP23STeMNocbK7tAuCuO3KDxISsVCu/8fzUMvLu2wsDP3B4G6T8Kg59ff/f7&#10;PYVBGg2jwccwuL8wSDGA0/sOg8HW5sbowdvCYLA5HG3ENpd0cuk7xsEyX+mFPNuncyryL+hKhYWV&#10;lwRAYQv44O6UmKek7OZGnD+i6sb5Q6oyhDyrdHbr2YzTI3bZJgWRumRtTqovWW4WPtMOfR4m5098&#10;GQWwAinxQX/b1ZzOwrA/3Bpt2Zpgq+iyokK2m9jK39nepqMzwqG6YjKUigHrFhI6LkomDsi5J9va&#10;2K4JSz4PpYeBM8dgSb6W6phlJweA6Bw9AWDaLzJx+6KBQ1B+lgQFPTfH0h28EQkFZ0k4Ah2EQUaq&#10;JCwA1sJnWeVJqMU8DAifA8zPjIKasVIzO6V1OsIfu4nX5YH0mo+HUWTFBIxVl8+Kwkmz3UxjHXYV&#10;+npNrpQ2U6K9WW25RkHI2AJoV8Rd3b4VuDno5yBboKRJwvUtYAj/QZdSZXsM7tgn2hwSBb0ETGJd&#10;fwa/Ci5BM5RzwPdMu3lAyFJdhsGZQlXpVzVRFDQkMph2OvKD1MDY1gcQ+26QGGCLkISuPQj0JVgD&#10;eZtZZpj9XSehtT60VYqdQEsl5JH9CoMTaBbgJvBvOEI0BXeEdcRSd9lqOMKfa7baaozStdVmM32X&#10;rbAbEoG5qGgB7V0Sfl6KdW6cuShZWaDELWR6ZSHTuAD3OABtP7v42ZyjSaENgM5ETzxEBfGvotiv&#10;UR9RiKu/osqHAI58lsCboHmY8Ql4uJtDL29mwVU1baCqc2HADvKg5obtn3KIMXfGOjcko2W2gOx1&#10;Q9po89fKBv9S2vBw36aNx4rl6AYWgTYhz8WHG+eg/OuCQ3XbK01wBTmT0GNOiHtZQ6HZZ+KEQpbz&#10;MO4/m3JbfevHhPgxIa4+KNyWENs4xSbLmxOiXdql5oxSnwRnbmATMbTfTTZrMknLHd+rZ4Yo7bxi&#10;WCRpM7D9WgKWJgPf/6POdWzwERP8jzEBOBhfOhW62kumnwnuWxWf5XOmq11AXCd64vEB9A6u5mNn&#10;MsWXG0R/AN1XynvzztbEQef1qIOE9+w/Gz8rIOxDrsL4CNeOKMBR74d9HfC7Ge1BE4Ov4nxKDAkU&#10;vE0moXqSu/4dId2LCl/fuxZrnwEg6V+O7f8+7Pw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EQAAAGRycy9jaGFydHMvX3JlbHMvUEsDBBQAAAAIAIdO4kAjLTpWvwAAAC8BAAAgAAAAZHJzL2No&#10;YXJ0cy9fcmVscy9jaGFydDEueG1sLnJlbHOFjz1rAzEQRPtA/oPYPto7FyGE07kJAbfBJrUs7X1w&#10;J63QKub8760UgRgCKYdh3mO6/RZWdaEsM0cDrW5AUXTs5zgaOB3fn15ASbHR25UjGbiSwL5/fOg+&#10;aLWljmSak6hKiWJgKiW9IoqbKFjRnCjWZuAcbKkxj5isW+xIuGuaZ8y/GdDfMdXBG8gH34I6XlM1&#10;/8/mYZgdvbH7ChTLH4ofe0XaPFIxoDVSOJP//iv4yXk5My+t3lbZAPsO7272N1BLAwQKAAAAAACH&#10;TuJAAAAAAAAAAAAAAAAACgAAAGRycy9fcmVscy9QSwMEFAAAAAgAh07iQKsWzUazAAAAIgEAABkA&#10;AABkcnMvX3JlbHMvZTJvRG9jLnhtbC5yZWxzhY/NCsIwEITvgu8Q9m7TehCRJr2I0KvUB1jS7Q+2&#10;SchGsW9v0IuC4HF2mG92yuoxT+JOgUdnFRRZDoKsce1oewWX5rTZg+CItsXJWVKwEEOl16vyTBPG&#10;FOJh9CwSxbKCIUZ/kJLNQDNy5jzZ5HQuzBiTDL30aK7Yk9zm+U6GTwboL6aoWwWhbgsQzeJT83+2&#10;67rR0NGZ20w2/qiQZsAQExBDT1HBS/L7WmTpU5C6lF/L9BNQSwMEFAAAAAgAh07iQK1q6YciAQAA&#10;yQIAABMAAABbQ29udGVudF9UeXBlc10ueG1slVJLTwIxEL6b+B+aXg0tcDDGsHBw8ajG4A9o2tlH&#10;6Cudsiz/3mFZLkZETs10+r1mulj1zrIOErbBF3wmppyB18G0vi741+Z18sQZZuWNssFDwQ+AfLW8&#10;v1tsDhGQEdpjwZuc47OUqBtwCkWI4KlTheRUpjLVMiq9VTXI+XT6KHXwGXye5CMHXy5KqNTOZrbu&#10;6frkpLfYc/ZyenjUKriK0bZaZXIqO29+qExCVbUaTNA7R9wCYwJlsAHIzorh5PJXqQQWb5MawwhC&#10;DnawaSM+UOILCsfO5Swj7p22kFoD7EOl/KYcJZYmodQN1eMxE39TXR+LSWpPu6WRDLxn05fETdj7&#10;BN0/ZB2OGxBlwpJgn9BdY4d5KIO+lXw9oM7ccviIy29QSwECFAAUAAAACACHTuJArWrphyIBAADJ&#10;AgAAEwAAAAAAAAABACAAAAB2NAAAW0NvbnRlbnRfVHlwZXNdLnhtbFBLAQIUAAoAAAAAAIdO4kAA&#10;AAAAAAAAAAAAAAAGAAAAAAAAAAAAEAAAABoxAABfcmVscy9QSwECFAAUAAAACACHTuJAihRmPNEA&#10;AACUAQAACwAAAAAAAAABACAAAAA+MQAAX3JlbHMvLnJlbHNQSwECFAAKAAAAAACHTuJAAAAAAAAA&#10;AAAAAAAABAAAAAAAAAAAABAAAAAAAAAAZHJzL1BLAQIUAAoAAAAAAIdO4kAAAAAAAAAAAAAAAAAK&#10;AAAAAAAAAAAAEAAAAGQzAABkcnMvX3JlbHMvUEsBAhQAFAAAAAgAh07iQKsWzUazAAAAIgEAABkA&#10;AAAAAAAAAQAgAAAAjDMAAGRycy9fcmVscy9lMm9Eb2MueG1sLnJlbHNQSwECFAAKAAAAAACHTuJA&#10;AAAAAAAAAAAAAAAACwAAAAAAAAAAABAAAABQKgAAZHJzL2NoYXJ0cy9QSwECFAAKAAAAAACHTuJA&#10;AAAAAAAAAAAAAAAAEQAAAAAAAAAAABAAAAA4MgAAZHJzL2NoYXJ0cy9fcmVscy9QSwECFAAUAAAA&#10;CACHTuJAIy06Vr8AAAAvAQAAIAAAAAAAAAABACAAAABnMgAAZHJzL2NoYXJ0cy9fcmVscy9jaGFy&#10;dDEueG1sLnJlbHNQSwECFAAUAAAACACHTuJAhgJsrm4GAADFGAAAFQAAAAAAAAABACAAAAB5KgAA&#10;ZHJzL2NoYXJ0cy9jaGFydDEueG1sUEsBAhQAFAAAAAgAh07iQDNIEmXZAAAACwEAAA8AAAAAAAAA&#10;AQAgAAAAIgAAAGRycy9kb3ducmV2LnhtbFBLAQIUABQAAAAIAIdO4kAfiLogCwEAAIYCAAAOAAAA&#10;AAAAAAEAIAAAACgBAABkcnMvZTJvRG9jLnhtbFBLAQIUAAoAAAAAAIdO4kAAAAAAAAAAAAAAAAAP&#10;AAAAAAAAAAAAEAAAAF8CAABkcnMvZW1iZWRkaW5ncy9QSwECFAAUAAAACACHTuJAdfIt54knAACj&#10;MgAAHQAAAAAAAAABACAAAACMAgAAZHJzL2VtYmVkZGluZ3MvV29ya2Jvb2sxLnhsc3hQSwUGAAAA&#10;AA4ADgBpAwAAyTUAAAAA&#10;">
            <v:path/>
            <v:fill on="f" focussize="0,0"/>
            <v:stroke on="f"/>
            <v:imagedata r:id="rId17" o:title=""/>
            <o:lock v:ext="edit" aspectratio="f"/>
            <w10:wrap type="topAndBottom"/>
          </v:shape>
          <o:OLEObject Type="Embed" ProgID="Excel.Sheet.8" ShapeID="_x0000_s1028" DrawAspect="Content" ObjectID="_1468075727" r:id="rId16">
            <o:LockedField>false</o:LockedField>
          </o:OLEObject>
        </w:pict>
      </w:r>
    </w:p>
    <w:p>
      <w:pPr>
        <w:spacing w:line="600" w:lineRule="exact"/>
        <w:rPr>
          <w:rFonts w:ascii="仿宋" w:hAnsi="仿宋" w:eastAsia="仿宋"/>
          <w:color w:val="auto"/>
          <w:sz w:val="32"/>
          <w:szCs w:val="32"/>
          <w:highlight w:val="none"/>
        </w:rPr>
      </w:pPr>
    </w:p>
    <w:p>
      <w:pPr>
        <w:spacing w:line="600" w:lineRule="exact"/>
        <w:ind w:firstLine="643" w:firstLineChars="200"/>
        <w:outlineLvl w:val="2"/>
        <w:rPr>
          <w:rFonts w:ascii="仿宋" w:hAnsi="仿宋" w:eastAsia="仿宋"/>
          <w:b/>
          <w:color w:val="auto"/>
          <w:sz w:val="32"/>
          <w:szCs w:val="32"/>
          <w:highlight w:val="none"/>
        </w:rPr>
      </w:pPr>
      <w:bookmarkStart w:id="44" w:name="_Toc15377211"/>
      <w:r>
        <w:rPr>
          <w:rFonts w:hint="eastAsia" w:ascii="仿宋" w:hAnsi="仿宋" w:eastAsia="仿宋"/>
          <w:b/>
          <w:color w:val="auto"/>
          <w:sz w:val="32"/>
          <w:szCs w:val="32"/>
          <w:highlight w:val="none"/>
        </w:rPr>
        <w:t>（二）一般公共预算财政拨款支出决算结构情况</w:t>
      </w:r>
      <w:bookmarkEnd w:id="44"/>
    </w:p>
    <w:p>
      <w:pPr>
        <w:spacing w:line="600" w:lineRule="exact"/>
        <w:ind w:firstLine="640"/>
        <w:rPr>
          <w:rFonts w:hint="eastAsia" w:ascii="仿宋" w:hAnsi="仿宋" w:eastAsia="仿宋"/>
          <w:b/>
          <w:color w:val="auto"/>
          <w:sz w:val="32"/>
          <w:szCs w:val="32"/>
          <w:highlight w:val="none"/>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年一般公共预算财政拨款支出</w:t>
      </w:r>
      <w:r>
        <w:rPr>
          <w:rFonts w:hint="eastAsia" w:ascii="仿宋" w:hAnsi="仿宋" w:eastAsia="仿宋"/>
          <w:color w:val="auto"/>
          <w:sz w:val="32"/>
          <w:szCs w:val="32"/>
          <w:highlight w:val="none"/>
          <w:lang w:val="en-US" w:eastAsia="zh-CN"/>
        </w:rPr>
        <w:t>1417.43</w:t>
      </w:r>
      <w:r>
        <w:rPr>
          <w:rFonts w:hint="eastAsia" w:ascii="仿宋" w:hAnsi="仿宋" w:eastAsia="仿宋"/>
          <w:color w:val="auto"/>
          <w:sz w:val="32"/>
          <w:szCs w:val="32"/>
          <w:highlight w:val="none"/>
        </w:rPr>
        <w:t>万元，主要用于以下方面</w:t>
      </w:r>
      <w:r>
        <w:rPr>
          <w:rFonts w:ascii="仿宋" w:hAnsi="仿宋" w:eastAsia="仿宋"/>
          <w:color w:val="auto"/>
          <w:sz w:val="32"/>
          <w:szCs w:val="32"/>
          <w:highlight w:val="none"/>
        </w:rPr>
        <w:t>:</w:t>
      </w:r>
      <w:r>
        <w:rPr>
          <w:rFonts w:hint="eastAsia" w:ascii="仿宋" w:hAnsi="仿宋" w:eastAsia="仿宋"/>
          <w:b/>
          <w:color w:val="auto"/>
          <w:sz w:val="32"/>
          <w:szCs w:val="32"/>
          <w:highlight w:val="none"/>
        </w:rPr>
        <w:t>一般公共服务</w:t>
      </w:r>
      <w:r>
        <w:rPr>
          <w:rFonts w:hint="eastAsia" w:ascii="仿宋" w:hAnsi="仿宋" w:eastAsia="仿宋"/>
          <w:b/>
          <w:bCs/>
          <w:color w:val="auto"/>
          <w:sz w:val="32"/>
          <w:szCs w:val="32"/>
          <w:highlight w:val="none"/>
        </w:rPr>
        <w:t>支出</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color w:val="auto"/>
          <w:sz w:val="32"/>
          <w:szCs w:val="32"/>
          <w:highlight w:val="none"/>
        </w:rPr>
        <w:t>教育支出</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color w:val="auto"/>
          <w:sz w:val="32"/>
          <w:szCs w:val="32"/>
          <w:highlight w:val="none"/>
        </w:rPr>
        <w:t>科学技术</w:t>
      </w:r>
      <w:r>
        <w:rPr>
          <w:rFonts w:hint="eastAsia" w:ascii="仿宋" w:hAnsi="仿宋" w:eastAsia="仿宋"/>
          <w:b/>
          <w:bCs/>
          <w:color w:val="auto"/>
          <w:sz w:val="32"/>
          <w:szCs w:val="32"/>
          <w:highlight w:val="none"/>
        </w:rPr>
        <w:t>支出</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bCs/>
          <w:color w:val="auto"/>
          <w:sz w:val="32"/>
          <w:szCs w:val="32"/>
          <w:highlight w:val="none"/>
        </w:rPr>
        <w:t>文化旅游体育与传媒支出</w:t>
      </w:r>
      <w:r>
        <w:rPr>
          <w:rFonts w:hint="eastAsia" w:ascii="仿宋" w:hAnsi="仿宋" w:eastAsia="仿宋"/>
          <w:b/>
          <w:bCs/>
          <w:color w:val="auto"/>
          <w:sz w:val="32"/>
          <w:szCs w:val="32"/>
          <w:highlight w:val="none"/>
          <w:lang w:val="en-US" w:eastAsia="zh-CN"/>
        </w:rPr>
        <w:t>0</w:t>
      </w:r>
      <w:r>
        <w:rPr>
          <w:rFonts w:hint="eastAsia" w:ascii="仿宋" w:hAnsi="仿宋" w:eastAsia="仿宋"/>
          <w:b/>
          <w:bCs/>
          <w:color w:val="auto"/>
          <w:sz w:val="32"/>
          <w:szCs w:val="32"/>
          <w:highlight w:val="none"/>
        </w:rPr>
        <w:t>万元，占</w:t>
      </w:r>
      <w:r>
        <w:rPr>
          <w:rFonts w:hint="eastAsia" w:ascii="仿宋" w:hAnsi="仿宋" w:eastAsia="仿宋"/>
          <w:b/>
          <w:bCs/>
          <w:color w:val="auto"/>
          <w:sz w:val="32"/>
          <w:szCs w:val="32"/>
          <w:highlight w:val="none"/>
          <w:lang w:val="en-US" w:eastAsia="zh-CN"/>
        </w:rPr>
        <w:t>0</w:t>
      </w:r>
      <w:r>
        <w:rPr>
          <w:rFonts w:ascii="仿宋" w:hAnsi="仿宋" w:eastAsia="仿宋"/>
          <w:b/>
          <w:bCs/>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color w:val="auto"/>
          <w:sz w:val="32"/>
          <w:szCs w:val="32"/>
          <w:highlight w:val="none"/>
        </w:rPr>
        <w:t>社会保障和就业</w:t>
      </w:r>
      <w:r>
        <w:rPr>
          <w:rFonts w:hint="eastAsia" w:ascii="仿宋" w:hAnsi="仿宋" w:eastAsia="仿宋"/>
          <w:b/>
          <w:bCs/>
          <w:color w:val="auto"/>
          <w:sz w:val="32"/>
          <w:szCs w:val="32"/>
          <w:highlight w:val="none"/>
        </w:rPr>
        <w:t>支出</w:t>
      </w:r>
      <w:r>
        <w:rPr>
          <w:rFonts w:hint="eastAsia" w:ascii="仿宋" w:hAnsi="仿宋" w:eastAsia="仿宋"/>
          <w:color w:val="auto"/>
          <w:sz w:val="32"/>
          <w:szCs w:val="32"/>
          <w:highlight w:val="none"/>
          <w:lang w:val="en-US" w:eastAsia="zh-CN"/>
        </w:rPr>
        <w:t>57.58</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4.06</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bCs/>
          <w:color w:val="auto"/>
          <w:sz w:val="32"/>
          <w:szCs w:val="32"/>
          <w:highlight w:val="none"/>
        </w:rPr>
        <w:t>卫生健康支出</w:t>
      </w:r>
      <w:r>
        <w:rPr>
          <w:rFonts w:hint="eastAsia" w:ascii="仿宋" w:hAnsi="仿宋" w:eastAsia="仿宋"/>
          <w:color w:val="auto"/>
          <w:sz w:val="32"/>
          <w:szCs w:val="32"/>
          <w:highlight w:val="none"/>
          <w:lang w:val="en-US" w:eastAsia="zh-CN"/>
        </w:rPr>
        <w:t>1234.12</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87.07</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bCs/>
          <w:color w:val="auto"/>
          <w:sz w:val="32"/>
          <w:szCs w:val="32"/>
          <w:highlight w:val="none"/>
        </w:rPr>
        <w:t>住房保障支出</w:t>
      </w:r>
      <w:r>
        <w:rPr>
          <w:rFonts w:hint="eastAsia" w:ascii="仿宋" w:hAnsi="仿宋" w:eastAsia="仿宋"/>
          <w:color w:val="auto"/>
          <w:sz w:val="32"/>
          <w:szCs w:val="32"/>
          <w:highlight w:val="none"/>
          <w:lang w:val="en-US" w:eastAsia="zh-CN"/>
        </w:rPr>
        <w:t>49.44</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3.49</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color w:val="auto"/>
          <w:sz w:val="32"/>
          <w:szCs w:val="32"/>
          <w:highlight w:val="none"/>
          <w:lang w:eastAsia="zh-CN"/>
        </w:rPr>
        <w:t>其他支出</w:t>
      </w:r>
      <w:r>
        <w:rPr>
          <w:rFonts w:hint="eastAsia" w:ascii="仿宋" w:hAnsi="仿宋" w:eastAsia="仿宋"/>
          <w:color w:val="auto"/>
          <w:sz w:val="32"/>
          <w:szCs w:val="32"/>
          <w:highlight w:val="none"/>
          <w:lang w:val="en-US" w:eastAsia="zh-CN"/>
        </w:rPr>
        <w:t>76.30万元，占5.38%</w:t>
      </w:r>
      <w:r>
        <w:rPr>
          <w:rFonts w:hint="eastAsia" w:ascii="仿宋" w:hAnsi="仿宋" w:eastAsia="仿宋"/>
          <w:color w:val="auto"/>
          <w:sz w:val="32"/>
          <w:szCs w:val="32"/>
          <w:highlight w:val="none"/>
        </w:rPr>
        <w:t>。</w:t>
      </w:r>
    </w:p>
    <w:p>
      <w:pPr>
        <w:spacing w:line="240" w:lineRule="auto"/>
        <w:rPr>
          <w:rFonts w:hint="eastAsia" w:eastAsia="宋体"/>
          <w:lang w:eastAsia="zh-CN"/>
        </w:rPr>
      </w:pPr>
      <w:r>
        <w:rPr>
          <w:rFonts w:hint="eastAsia" w:eastAsia="宋体"/>
          <w:lang w:eastAsia="zh-CN"/>
        </w:rPr>
        <w:drawing>
          <wp:inline distT="0" distB="0" distL="114300" distR="114300">
            <wp:extent cx="5251450" cy="2849245"/>
            <wp:effectExtent l="4445" t="4445" r="20955" b="22860"/>
            <wp:docPr id="44" name="图表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pPr>
        <w:spacing w:line="240" w:lineRule="auto"/>
        <w:jc w:val="center"/>
        <w:rPr>
          <w:rFonts w:hint="eastAsia" w:ascii="仿宋" w:hAnsi="仿宋" w:eastAsia="仿宋"/>
          <w:b/>
          <w:color w:val="000000"/>
          <w:sz w:val="32"/>
          <w:szCs w:val="32"/>
        </w:rPr>
      </w:pPr>
      <w:r>
        <w:rPr>
          <w:rFonts w:hint="eastAsia" w:ascii="仿宋" w:hAnsi="仿宋" w:eastAsia="仿宋"/>
          <w:b/>
          <w:bCs/>
          <w:color w:val="000000"/>
          <w:sz w:val="32"/>
          <w:szCs w:val="32"/>
          <w:lang w:eastAsia="zh-CN"/>
        </w:rPr>
        <w:t>图</w:t>
      </w:r>
      <w:r>
        <w:rPr>
          <w:rFonts w:hint="eastAsia" w:ascii="仿宋" w:hAnsi="仿宋" w:eastAsia="仿宋"/>
          <w:b/>
          <w:bCs/>
          <w:color w:val="000000"/>
          <w:sz w:val="32"/>
          <w:szCs w:val="32"/>
          <w:lang w:val="en-US" w:eastAsia="zh-CN"/>
        </w:rPr>
        <w:t>6  一般公共预算财政拨款支出决算结构图</w:t>
      </w:r>
    </w:p>
    <w:p>
      <w:pPr>
        <w:spacing w:line="600" w:lineRule="exact"/>
        <w:ind w:firstLine="640" w:firstLineChars="200"/>
        <w:rPr>
          <w:rFonts w:ascii="仿宋" w:hAnsi="仿宋" w:eastAsia="仿宋"/>
          <w:color w:val="auto"/>
          <w:sz w:val="32"/>
          <w:szCs w:val="32"/>
          <w:highlight w:val="none"/>
        </w:rPr>
      </w:pPr>
    </w:p>
    <w:p>
      <w:pPr>
        <w:spacing w:line="600" w:lineRule="exact"/>
        <w:ind w:firstLine="643" w:firstLineChars="200"/>
        <w:outlineLvl w:val="2"/>
        <w:rPr>
          <w:rFonts w:ascii="仿宋" w:hAnsi="仿宋" w:eastAsia="仿宋"/>
          <w:b/>
          <w:color w:val="auto"/>
          <w:sz w:val="32"/>
          <w:szCs w:val="32"/>
          <w:highlight w:val="none"/>
        </w:rPr>
      </w:pPr>
      <w:bookmarkStart w:id="45" w:name="_Toc15377212"/>
      <w:r>
        <w:rPr>
          <w:rFonts w:hint="eastAsia" w:ascii="仿宋" w:hAnsi="仿宋" w:eastAsia="仿宋"/>
          <w:b/>
          <w:color w:val="auto"/>
          <w:sz w:val="32"/>
          <w:szCs w:val="32"/>
          <w:highlight w:val="none"/>
        </w:rPr>
        <w:t>（三）一般公共预算财政拨款支出决算具体情况</w:t>
      </w:r>
      <w:bookmarkEnd w:id="45"/>
    </w:p>
    <w:p>
      <w:pPr>
        <w:spacing w:line="600" w:lineRule="exact"/>
        <w:ind w:firstLine="643" w:firstLineChars="200"/>
        <w:outlineLvl w:val="1"/>
        <w:rPr>
          <w:rFonts w:ascii="仿宋" w:hAnsi="仿宋" w:eastAsia="仿宋"/>
          <w:color w:val="auto"/>
          <w:sz w:val="32"/>
          <w:szCs w:val="32"/>
          <w:highlight w:val="none"/>
        </w:rPr>
      </w:pPr>
      <w:bookmarkStart w:id="46" w:name="_Toc15377213"/>
      <w:bookmarkStart w:id="47" w:name="_Toc15378460"/>
      <w:bookmarkStart w:id="48" w:name="_Toc19529"/>
      <w:bookmarkStart w:id="49" w:name="_Toc15377444"/>
      <w:r>
        <w:rPr>
          <w:rFonts w:hint="eastAsia" w:ascii="仿宋" w:hAnsi="仿宋" w:eastAsia="仿宋"/>
          <w:b/>
          <w:color w:val="auto"/>
          <w:sz w:val="32"/>
          <w:szCs w:val="32"/>
          <w:highlight w:val="none"/>
        </w:rPr>
        <w:t>20</w:t>
      </w:r>
      <w:r>
        <w:rPr>
          <w:rFonts w:hint="eastAsia" w:ascii="仿宋" w:hAnsi="仿宋" w:eastAsia="仿宋"/>
          <w:b/>
          <w:color w:val="auto"/>
          <w:sz w:val="32"/>
          <w:szCs w:val="32"/>
          <w:highlight w:val="none"/>
          <w:lang w:val="en-US" w:eastAsia="zh-CN"/>
        </w:rPr>
        <w:t>22</w:t>
      </w:r>
      <w:r>
        <w:rPr>
          <w:rFonts w:hint="eastAsia" w:ascii="仿宋" w:hAnsi="仿宋" w:eastAsia="仿宋"/>
          <w:b/>
          <w:color w:val="auto"/>
          <w:sz w:val="32"/>
          <w:szCs w:val="32"/>
          <w:highlight w:val="none"/>
        </w:rPr>
        <w:t>年</w:t>
      </w:r>
      <w:r>
        <w:rPr>
          <w:rFonts w:hint="eastAsia" w:ascii="仿宋" w:hAnsi="仿宋" w:eastAsia="仿宋"/>
          <w:b/>
          <w:color w:val="auto"/>
          <w:sz w:val="32"/>
          <w:szCs w:val="32"/>
          <w:highlight w:val="none"/>
          <w:lang w:eastAsia="zh-CN"/>
        </w:rPr>
        <w:t>一</w:t>
      </w:r>
      <w:r>
        <w:rPr>
          <w:rFonts w:hint="eastAsia" w:ascii="仿宋" w:hAnsi="仿宋" w:eastAsia="仿宋"/>
          <w:b/>
          <w:color w:val="auto"/>
          <w:sz w:val="32"/>
          <w:szCs w:val="32"/>
          <w:highlight w:val="none"/>
        </w:rPr>
        <w:t>般公共预算支出决算数为</w:t>
      </w:r>
      <w:r>
        <w:rPr>
          <w:rFonts w:hint="eastAsia" w:ascii="仿宋" w:hAnsi="仿宋" w:eastAsia="仿宋"/>
          <w:b/>
          <w:color w:val="auto"/>
          <w:sz w:val="32"/>
          <w:szCs w:val="32"/>
          <w:highlight w:val="none"/>
          <w:lang w:val="en-US" w:eastAsia="zh-CN"/>
        </w:rPr>
        <w:t>1417.43万元</w:t>
      </w:r>
      <w:r>
        <w:rPr>
          <w:rFonts w:hint="eastAsia" w:ascii="仿宋" w:hAnsi="仿宋" w:eastAsia="仿宋"/>
          <w:color w:val="auto"/>
          <w:sz w:val="32"/>
          <w:szCs w:val="32"/>
          <w:highlight w:val="none"/>
        </w:rPr>
        <w:t>，</w:t>
      </w:r>
      <w:r>
        <w:rPr>
          <w:rStyle w:val="16"/>
          <w:rFonts w:hint="eastAsia" w:ascii="仿宋" w:hAnsi="仿宋" w:eastAsia="仿宋"/>
          <w:bCs/>
          <w:color w:val="auto"/>
          <w:sz w:val="32"/>
          <w:szCs w:val="32"/>
          <w:highlight w:val="none"/>
        </w:rPr>
        <w:t>其中：</w:t>
      </w:r>
      <w:bookmarkEnd w:id="46"/>
      <w:bookmarkEnd w:id="47"/>
      <w:bookmarkEnd w:id="48"/>
      <w:bookmarkEnd w:id="49"/>
    </w:p>
    <w:p>
      <w:pPr>
        <w:spacing w:line="600" w:lineRule="exact"/>
        <w:ind w:firstLine="643" w:firstLineChars="200"/>
        <w:rPr>
          <w:rFonts w:hint="eastAsia" w:ascii="仿宋_GB2312" w:eastAsia="仿宋_GB2312" w:cs="仿宋_GB2312"/>
          <w:kern w:val="0"/>
          <w:sz w:val="32"/>
          <w:szCs w:val="32"/>
          <w:highlight w:val="red"/>
          <w:lang w:val="en-US" w:eastAsia="zh-CN"/>
        </w:rPr>
      </w:pPr>
      <w:r>
        <w:rPr>
          <w:rStyle w:val="16"/>
          <w:rFonts w:hint="eastAsia" w:ascii="仿宋" w:hAnsi="仿宋" w:eastAsia="仿宋"/>
          <w:bCs/>
          <w:color w:val="000000"/>
          <w:sz w:val="32"/>
          <w:szCs w:val="32"/>
          <w:lang w:val="en-US" w:eastAsia="zh-CN"/>
        </w:rPr>
        <w:t>1</w:t>
      </w:r>
      <w:r>
        <w:rPr>
          <w:rStyle w:val="16"/>
          <w:rFonts w:ascii="仿宋" w:hAnsi="仿宋" w:eastAsia="仿宋"/>
          <w:bCs/>
          <w:color w:val="000000"/>
          <w:sz w:val="32"/>
          <w:szCs w:val="32"/>
        </w:rPr>
        <w:t>.</w:t>
      </w:r>
      <w:r>
        <w:rPr>
          <w:rStyle w:val="16"/>
          <w:rFonts w:hint="eastAsia" w:ascii="仿宋" w:hAnsi="仿宋" w:eastAsia="仿宋"/>
          <w:bCs/>
          <w:color w:val="000000"/>
          <w:sz w:val="32"/>
          <w:szCs w:val="32"/>
          <w:lang w:eastAsia="zh-CN"/>
        </w:rPr>
        <w:t>社会保障和就业支出</w:t>
      </w:r>
      <w:r>
        <w:rPr>
          <w:rStyle w:val="16"/>
          <w:rFonts w:hint="eastAsia" w:ascii="仿宋" w:hAnsi="仿宋" w:eastAsia="仿宋"/>
          <w:bCs/>
          <w:color w:val="000000"/>
          <w:sz w:val="32"/>
          <w:szCs w:val="32"/>
        </w:rPr>
        <w:t>（类）</w:t>
      </w:r>
      <w:r>
        <w:rPr>
          <w:rStyle w:val="16"/>
          <w:rFonts w:hint="eastAsia" w:ascii="仿宋" w:hAnsi="仿宋" w:eastAsia="仿宋"/>
          <w:bCs/>
          <w:color w:val="000000"/>
          <w:sz w:val="32"/>
          <w:szCs w:val="32"/>
          <w:lang w:eastAsia="zh-CN"/>
        </w:rPr>
        <w:t>行政事业单位养老支出</w:t>
      </w:r>
      <w:r>
        <w:rPr>
          <w:rStyle w:val="16"/>
          <w:rFonts w:hint="eastAsia" w:ascii="仿宋" w:hAnsi="仿宋" w:eastAsia="仿宋"/>
          <w:bCs/>
          <w:color w:val="000000"/>
          <w:sz w:val="32"/>
          <w:szCs w:val="32"/>
        </w:rPr>
        <w:t>（款）</w:t>
      </w:r>
      <w:r>
        <w:rPr>
          <w:rStyle w:val="16"/>
          <w:rFonts w:hint="eastAsia" w:ascii="仿宋" w:hAnsi="仿宋" w:eastAsia="仿宋"/>
          <w:bCs/>
          <w:color w:val="000000"/>
          <w:sz w:val="32"/>
          <w:szCs w:val="32"/>
          <w:lang w:eastAsia="zh-CN"/>
        </w:rPr>
        <w:t>机关事业单位基本养老保险缴费支出</w:t>
      </w:r>
      <w:r>
        <w:rPr>
          <w:rStyle w:val="16"/>
          <w:rFonts w:hint="eastAsia" w:ascii="仿宋" w:hAnsi="仿宋" w:eastAsia="仿宋"/>
          <w:bCs/>
          <w:color w:val="000000"/>
          <w:sz w:val="32"/>
          <w:szCs w:val="32"/>
        </w:rPr>
        <w:t>（项）</w:t>
      </w:r>
      <w:r>
        <w:rPr>
          <w:rStyle w:val="16"/>
          <w:rFonts w:ascii="仿宋" w:hAnsi="仿宋" w:eastAsia="仿宋"/>
          <w:bCs/>
          <w:color w:val="000000"/>
          <w:sz w:val="32"/>
          <w:szCs w:val="32"/>
        </w:rPr>
        <w:t>:</w:t>
      </w:r>
      <w:r>
        <w:rPr>
          <w:rFonts w:hint="eastAsia" w:ascii="仿宋_GB2312" w:eastAsia="仿宋_GB2312" w:cs="仿宋_GB2312"/>
          <w:kern w:val="0"/>
          <w:sz w:val="32"/>
          <w:szCs w:val="32"/>
          <w:lang w:val="en-US" w:eastAsia="zh-CN"/>
        </w:rPr>
        <w:t>支出决算为54.55万元，</w:t>
      </w:r>
      <w:r>
        <w:rPr>
          <w:rFonts w:hint="eastAsia" w:ascii="仿宋_GB2312" w:eastAsia="仿宋_GB2312" w:cs="仿宋_GB2312"/>
          <w:kern w:val="0"/>
          <w:sz w:val="32"/>
          <w:szCs w:val="32"/>
          <w:highlight w:val="none"/>
          <w:lang w:val="en-US" w:eastAsia="zh-CN"/>
        </w:rPr>
        <w:t>完成预算100%。</w:t>
      </w:r>
    </w:p>
    <w:p>
      <w:pPr>
        <w:spacing w:line="600" w:lineRule="exact"/>
        <w:ind w:firstLine="643" w:firstLineChars="200"/>
        <w:rPr>
          <w:rFonts w:hint="eastAsia" w:ascii="仿宋_GB2312" w:eastAsia="仿宋_GB2312" w:cs="仿宋_GB2312"/>
          <w:kern w:val="0"/>
          <w:sz w:val="32"/>
          <w:szCs w:val="32"/>
          <w:highlight w:val="red"/>
          <w:lang w:val="en-US" w:eastAsia="zh-CN"/>
        </w:rPr>
      </w:pPr>
      <w:r>
        <w:rPr>
          <w:rFonts w:hint="eastAsia" w:ascii="仿宋_GB2312" w:eastAsia="仿宋_GB2312" w:cs="仿宋_GB2312"/>
          <w:b/>
          <w:bCs/>
          <w:kern w:val="0"/>
          <w:sz w:val="32"/>
          <w:szCs w:val="32"/>
          <w:lang w:val="en-US" w:eastAsia="zh-CN"/>
        </w:rPr>
        <w:t>2.</w:t>
      </w:r>
      <w:r>
        <w:rPr>
          <w:rStyle w:val="16"/>
          <w:rFonts w:hint="eastAsia" w:ascii="仿宋" w:hAnsi="仿宋" w:eastAsia="仿宋"/>
          <w:b/>
          <w:bCs/>
          <w:color w:val="000000"/>
          <w:sz w:val="32"/>
          <w:szCs w:val="32"/>
          <w:lang w:eastAsia="zh-CN"/>
        </w:rPr>
        <w:t>社会</w:t>
      </w:r>
      <w:r>
        <w:rPr>
          <w:rStyle w:val="16"/>
          <w:rFonts w:hint="eastAsia" w:ascii="仿宋" w:hAnsi="仿宋" w:eastAsia="仿宋"/>
          <w:bCs/>
          <w:color w:val="000000"/>
          <w:sz w:val="32"/>
          <w:szCs w:val="32"/>
          <w:lang w:eastAsia="zh-CN"/>
        </w:rPr>
        <w:t>保障和就业支出</w:t>
      </w:r>
      <w:r>
        <w:rPr>
          <w:rStyle w:val="16"/>
          <w:rFonts w:hint="eastAsia" w:ascii="仿宋" w:hAnsi="仿宋" w:eastAsia="仿宋"/>
          <w:bCs/>
          <w:color w:val="000000"/>
          <w:sz w:val="32"/>
          <w:szCs w:val="32"/>
        </w:rPr>
        <w:t>（类）</w:t>
      </w:r>
      <w:r>
        <w:rPr>
          <w:rStyle w:val="16"/>
          <w:rFonts w:hint="eastAsia" w:ascii="仿宋" w:hAnsi="仿宋" w:eastAsia="仿宋"/>
          <w:bCs/>
          <w:color w:val="000000"/>
          <w:sz w:val="32"/>
          <w:szCs w:val="32"/>
          <w:lang w:eastAsia="zh-CN"/>
        </w:rPr>
        <w:t>其他社会保险和就业支出</w:t>
      </w:r>
      <w:r>
        <w:rPr>
          <w:rStyle w:val="16"/>
          <w:rFonts w:hint="eastAsia" w:ascii="仿宋" w:hAnsi="仿宋" w:eastAsia="仿宋"/>
          <w:bCs/>
          <w:color w:val="000000"/>
          <w:sz w:val="32"/>
          <w:szCs w:val="32"/>
        </w:rPr>
        <w:t>（款）</w:t>
      </w:r>
      <w:r>
        <w:rPr>
          <w:rStyle w:val="16"/>
          <w:rFonts w:hint="eastAsia" w:ascii="仿宋" w:hAnsi="仿宋" w:eastAsia="仿宋"/>
          <w:bCs/>
          <w:color w:val="000000"/>
          <w:sz w:val="32"/>
          <w:szCs w:val="32"/>
          <w:lang w:eastAsia="zh-CN"/>
        </w:rPr>
        <w:t>其他社会保险和就业支出</w:t>
      </w:r>
      <w:r>
        <w:rPr>
          <w:rStyle w:val="16"/>
          <w:rFonts w:hint="eastAsia" w:ascii="仿宋" w:hAnsi="仿宋" w:eastAsia="仿宋"/>
          <w:bCs/>
          <w:color w:val="000000"/>
          <w:sz w:val="32"/>
          <w:szCs w:val="32"/>
        </w:rPr>
        <w:t>（项）</w:t>
      </w:r>
      <w:r>
        <w:rPr>
          <w:rStyle w:val="16"/>
          <w:rFonts w:ascii="仿宋" w:hAnsi="仿宋" w:eastAsia="仿宋"/>
          <w:bCs/>
          <w:color w:val="000000"/>
          <w:sz w:val="32"/>
          <w:szCs w:val="32"/>
        </w:rPr>
        <w:t>:</w:t>
      </w:r>
      <w:r>
        <w:rPr>
          <w:rFonts w:hint="eastAsia" w:ascii="仿宋_GB2312" w:eastAsia="仿宋_GB2312" w:cs="仿宋_GB2312"/>
          <w:kern w:val="0"/>
          <w:sz w:val="32"/>
          <w:szCs w:val="32"/>
          <w:lang w:val="en-US" w:eastAsia="zh-CN"/>
        </w:rPr>
        <w:t>支出决算为3.03万元，</w:t>
      </w:r>
      <w:r>
        <w:rPr>
          <w:rFonts w:hint="eastAsia" w:ascii="仿宋_GB2312" w:eastAsia="仿宋_GB2312" w:cs="仿宋_GB2312"/>
          <w:kern w:val="0"/>
          <w:sz w:val="32"/>
          <w:szCs w:val="32"/>
          <w:highlight w:val="none"/>
          <w:lang w:val="en-US" w:eastAsia="zh-CN"/>
        </w:rPr>
        <w:t>完成预算100%。</w:t>
      </w:r>
    </w:p>
    <w:p>
      <w:pPr>
        <w:spacing w:line="600" w:lineRule="exact"/>
        <w:ind w:firstLine="643" w:firstLineChars="200"/>
        <w:rPr>
          <w:rFonts w:hint="eastAsia"/>
          <w:highlight w:val="red"/>
          <w:lang w:val="en-US" w:eastAsia="zh-CN"/>
        </w:rPr>
      </w:pPr>
      <w:r>
        <w:rPr>
          <w:rStyle w:val="16"/>
          <w:rFonts w:hint="eastAsia" w:ascii="仿宋" w:hAnsi="仿宋" w:eastAsia="仿宋"/>
          <w:bCs/>
          <w:color w:val="000000"/>
          <w:sz w:val="32"/>
          <w:szCs w:val="32"/>
          <w:lang w:val="en-US" w:eastAsia="zh-CN"/>
        </w:rPr>
        <w:t>3</w:t>
      </w:r>
      <w:r>
        <w:rPr>
          <w:rFonts w:hint="eastAsia" w:ascii="仿宋_GB2312" w:eastAsia="仿宋_GB2312" w:cs="仿宋_GB2312"/>
          <w:kern w:val="0"/>
          <w:sz w:val="32"/>
          <w:szCs w:val="32"/>
          <w:lang w:val="en-US" w:eastAsia="zh-CN"/>
        </w:rPr>
        <w:t>.</w:t>
      </w:r>
      <w:r>
        <w:rPr>
          <w:rStyle w:val="16"/>
          <w:rFonts w:hint="eastAsia" w:ascii="仿宋" w:hAnsi="仿宋" w:eastAsia="仿宋"/>
          <w:bCs/>
          <w:color w:val="000000"/>
          <w:sz w:val="32"/>
          <w:szCs w:val="32"/>
          <w:lang w:eastAsia="zh-CN"/>
        </w:rPr>
        <w:t>卫生健康支出</w:t>
      </w:r>
      <w:r>
        <w:rPr>
          <w:rStyle w:val="16"/>
          <w:rFonts w:hint="eastAsia" w:ascii="仿宋" w:hAnsi="仿宋" w:eastAsia="仿宋"/>
          <w:bCs/>
          <w:color w:val="000000"/>
          <w:sz w:val="32"/>
          <w:szCs w:val="32"/>
        </w:rPr>
        <w:t>（类）</w:t>
      </w:r>
      <w:r>
        <w:rPr>
          <w:rStyle w:val="16"/>
          <w:rFonts w:hint="eastAsia" w:ascii="仿宋" w:hAnsi="仿宋" w:eastAsia="仿宋"/>
          <w:bCs/>
          <w:color w:val="000000"/>
          <w:sz w:val="32"/>
          <w:szCs w:val="32"/>
          <w:lang w:eastAsia="zh-CN"/>
        </w:rPr>
        <w:t>公立医院</w:t>
      </w:r>
      <w:r>
        <w:rPr>
          <w:rStyle w:val="16"/>
          <w:rFonts w:hint="eastAsia" w:ascii="仿宋" w:hAnsi="仿宋" w:eastAsia="仿宋"/>
          <w:bCs/>
          <w:color w:val="000000"/>
          <w:sz w:val="32"/>
          <w:szCs w:val="32"/>
        </w:rPr>
        <w:t>（款）</w:t>
      </w:r>
      <w:r>
        <w:rPr>
          <w:rStyle w:val="16"/>
          <w:rFonts w:hint="eastAsia" w:ascii="仿宋" w:hAnsi="仿宋" w:eastAsia="仿宋"/>
          <w:bCs/>
          <w:color w:val="000000"/>
          <w:sz w:val="32"/>
          <w:szCs w:val="32"/>
          <w:lang w:eastAsia="zh-CN"/>
        </w:rPr>
        <w:t>其他公立医院支出</w:t>
      </w:r>
      <w:r>
        <w:rPr>
          <w:rStyle w:val="16"/>
          <w:rFonts w:hint="eastAsia" w:ascii="仿宋" w:hAnsi="仿宋" w:eastAsia="仿宋"/>
          <w:bCs/>
          <w:color w:val="000000"/>
          <w:sz w:val="32"/>
          <w:szCs w:val="32"/>
        </w:rPr>
        <w:t>（项）</w:t>
      </w:r>
      <w:r>
        <w:rPr>
          <w:rStyle w:val="16"/>
          <w:rFonts w:ascii="仿宋" w:hAnsi="仿宋" w:eastAsia="仿宋"/>
          <w:bCs/>
          <w:color w:val="000000"/>
          <w:sz w:val="32"/>
          <w:szCs w:val="32"/>
        </w:rPr>
        <w:t>:</w:t>
      </w:r>
      <w:r>
        <w:rPr>
          <w:rFonts w:hint="eastAsia" w:ascii="仿宋_GB2312" w:eastAsia="仿宋_GB2312" w:cs="仿宋_GB2312"/>
          <w:kern w:val="0"/>
          <w:sz w:val="32"/>
          <w:szCs w:val="32"/>
          <w:lang w:val="en-US" w:eastAsia="zh-CN"/>
        </w:rPr>
        <w:t>支出决算为250万元，</w:t>
      </w:r>
      <w:r>
        <w:rPr>
          <w:rFonts w:hint="eastAsia" w:ascii="仿宋_GB2312" w:eastAsia="仿宋_GB2312" w:cs="仿宋_GB2312"/>
          <w:kern w:val="0"/>
          <w:sz w:val="32"/>
          <w:szCs w:val="32"/>
          <w:highlight w:val="none"/>
          <w:lang w:val="en-US" w:eastAsia="zh-CN"/>
        </w:rPr>
        <w:t>完成预算100%。</w:t>
      </w:r>
    </w:p>
    <w:p>
      <w:pPr>
        <w:spacing w:line="600" w:lineRule="exact"/>
        <w:ind w:firstLine="643" w:firstLineChars="200"/>
        <w:rPr>
          <w:rFonts w:hint="eastAsia" w:ascii="仿宋_GB2312" w:eastAsia="仿宋_GB2312" w:cs="仿宋_GB2312"/>
          <w:kern w:val="0"/>
          <w:sz w:val="32"/>
          <w:szCs w:val="32"/>
          <w:highlight w:val="red"/>
          <w:lang w:val="en-US" w:eastAsia="zh-CN"/>
        </w:rPr>
      </w:pPr>
      <w:r>
        <w:rPr>
          <w:rStyle w:val="16"/>
          <w:rFonts w:hint="eastAsia" w:ascii="仿宋" w:hAnsi="仿宋" w:eastAsia="仿宋"/>
          <w:bCs/>
          <w:color w:val="000000"/>
          <w:sz w:val="32"/>
          <w:szCs w:val="32"/>
          <w:lang w:val="en-US" w:eastAsia="zh-CN"/>
        </w:rPr>
        <w:t>4</w:t>
      </w:r>
      <w:r>
        <w:rPr>
          <w:rStyle w:val="16"/>
          <w:rFonts w:ascii="仿宋" w:hAnsi="仿宋" w:eastAsia="仿宋"/>
          <w:bCs/>
          <w:color w:val="000000"/>
          <w:sz w:val="32"/>
          <w:szCs w:val="32"/>
        </w:rPr>
        <w:t>.</w:t>
      </w:r>
      <w:r>
        <w:rPr>
          <w:rStyle w:val="16"/>
          <w:rFonts w:hint="eastAsia" w:ascii="仿宋" w:hAnsi="仿宋" w:eastAsia="仿宋"/>
          <w:bCs/>
          <w:color w:val="000000"/>
          <w:sz w:val="32"/>
          <w:szCs w:val="32"/>
        </w:rPr>
        <w:t>卫生健康支出（类）</w:t>
      </w:r>
      <w:r>
        <w:rPr>
          <w:rStyle w:val="16"/>
          <w:rFonts w:hint="eastAsia" w:ascii="仿宋" w:hAnsi="仿宋" w:eastAsia="仿宋"/>
          <w:bCs/>
          <w:color w:val="000000"/>
          <w:sz w:val="32"/>
          <w:szCs w:val="32"/>
          <w:lang w:eastAsia="zh-CN"/>
        </w:rPr>
        <w:t>公共卫生</w:t>
      </w:r>
      <w:r>
        <w:rPr>
          <w:rStyle w:val="16"/>
          <w:rFonts w:hint="eastAsia" w:ascii="仿宋" w:hAnsi="仿宋" w:eastAsia="仿宋"/>
          <w:bCs/>
          <w:color w:val="000000"/>
          <w:sz w:val="32"/>
          <w:szCs w:val="32"/>
        </w:rPr>
        <w:t>（款）</w:t>
      </w:r>
      <w:r>
        <w:rPr>
          <w:rStyle w:val="16"/>
          <w:rFonts w:hint="eastAsia" w:ascii="仿宋" w:hAnsi="仿宋" w:eastAsia="仿宋"/>
          <w:bCs/>
          <w:color w:val="000000"/>
          <w:sz w:val="32"/>
          <w:szCs w:val="32"/>
          <w:lang w:eastAsia="zh-CN"/>
        </w:rPr>
        <w:t>妇幼保健机构</w:t>
      </w:r>
      <w:r>
        <w:rPr>
          <w:rStyle w:val="16"/>
          <w:rFonts w:hint="eastAsia" w:ascii="仿宋" w:hAnsi="仿宋" w:eastAsia="仿宋"/>
          <w:bCs/>
          <w:color w:val="000000"/>
          <w:sz w:val="32"/>
          <w:szCs w:val="32"/>
        </w:rPr>
        <w:t>（项）</w:t>
      </w:r>
      <w:r>
        <w:rPr>
          <w:rStyle w:val="16"/>
          <w:rFonts w:ascii="仿宋" w:hAnsi="仿宋" w:eastAsia="仿宋"/>
          <w:bCs/>
          <w:color w:val="000000"/>
          <w:sz w:val="32"/>
          <w:szCs w:val="32"/>
        </w:rPr>
        <w:t>:</w:t>
      </w:r>
      <w:r>
        <w:rPr>
          <w:rFonts w:hint="eastAsia" w:ascii="仿宋_GB2312" w:eastAsia="仿宋_GB2312" w:cs="仿宋_GB2312"/>
          <w:kern w:val="0"/>
          <w:sz w:val="32"/>
          <w:szCs w:val="32"/>
          <w:lang w:val="en-US" w:eastAsia="zh-CN"/>
        </w:rPr>
        <w:t>支出决算为822.19万元，</w:t>
      </w:r>
      <w:r>
        <w:rPr>
          <w:rFonts w:hint="eastAsia" w:ascii="仿宋_GB2312" w:eastAsia="仿宋_GB2312" w:cs="仿宋_GB2312"/>
          <w:kern w:val="0"/>
          <w:sz w:val="32"/>
          <w:szCs w:val="32"/>
          <w:highlight w:val="none"/>
          <w:lang w:val="en-US" w:eastAsia="zh-CN"/>
        </w:rPr>
        <w:t>完成预算99.07%。</w:t>
      </w:r>
    </w:p>
    <w:p>
      <w:pPr>
        <w:spacing w:line="600" w:lineRule="exact"/>
        <w:ind w:firstLine="643" w:firstLineChars="200"/>
        <w:rPr>
          <w:rFonts w:hint="eastAsia" w:ascii="仿宋_GB2312" w:eastAsia="仿宋_GB2312" w:cs="仿宋_GB2312"/>
          <w:kern w:val="0"/>
          <w:sz w:val="32"/>
          <w:szCs w:val="32"/>
          <w:highlight w:val="none"/>
          <w:lang w:val="en-US" w:eastAsia="zh-CN"/>
        </w:rPr>
      </w:pPr>
      <w:r>
        <w:rPr>
          <w:rStyle w:val="16"/>
          <w:rFonts w:hint="eastAsia" w:ascii="仿宋" w:hAnsi="仿宋" w:eastAsia="仿宋"/>
          <w:bCs/>
          <w:color w:val="000000"/>
          <w:sz w:val="32"/>
          <w:szCs w:val="32"/>
          <w:lang w:val="en-US" w:eastAsia="zh-CN"/>
        </w:rPr>
        <w:t>5</w:t>
      </w:r>
      <w:r>
        <w:rPr>
          <w:rStyle w:val="16"/>
          <w:rFonts w:ascii="仿宋" w:hAnsi="仿宋" w:eastAsia="仿宋"/>
          <w:bCs/>
          <w:color w:val="000000"/>
          <w:sz w:val="32"/>
          <w:szCs w:val="32"/>
        </w:rPr>
        <w:t>.</w:t>
      </w:r>
      <w:r>
        <w:rPr>
          <w:rStyle w:val="16"/>
          <w:rFonts w:hint="eastAsia" w:ascii="仿宋" w:hAnsi="仿宋" w:eastAsia="仿宋"/>
          <w:bCs/>
          <w:color w:val="000000"/>
          <w:sz w:val="32"/>
          <w:szCs w:val="32"/>
        </w:rPr>
        <w:t>卫生健康支出（类）</w:t>
      </w:r>
      <w:r>
        <w:rPr>
          <w:rStyle w:val="16"/>
          <w:rFonts w:hint="eastAsia" w:ascii="仿宋" w:hAnsi="仿宋" w:eastAsia="仿宋"/>
          <w:bCs/>
          <w:color w:val="000000"/>
          <w:sz w:val="32"/>
          <w:szCs w:val="32"/>
          <w:lang w:eastAsia="zh-CN"/>
        </w:rPr>
        <w:t>公共卫生</w:t>
      </w:r>
      <w:r>
        <w:rPr>
          <w:rStyle w:val="16"/>
          <w:rFonts w:hint="eastAsia" w:ascii="仿宋" w:hAnsi="仿宋" w:eastAsia="仿宋"/>
          <w:bCs/>
          <w:color w:val="000000"/>
          <w:sz w:val="32"/>
          <w:szCs w:val="32"/>
        </w:rPr>
        <w:t>（款）</w:t>
      </w:r>
      <w:r>
        <w:rPr>
          <w:rStyle w:val="16"/>
          <w:rFonts w:hint="eastAsia" w:ascii="仿宋" w:hAnsi="仿宋" w:eastAsia="仿宋"/>
          <w:bCs/>
          <w:color w:val="000000"/>
          <w:sz w:val="32"/>
          <w:szCs w:val="32"/>
          <w:lang w:eastAsia="zh-CN"/>
        </w:rPr>
        <w:t>基本公共卫生服务</w:t>
      </w:r>
      <w:r>
        <w:rPr>
          <w:rStyle w:val="16"/>
          <w:rFonts w:hint="eastAsia" w:ascii="仿宋" w:hAnsi="仿宋" w:eastAsia="仿宋"/>
          <w:bCs/>
          <w:color w:val="000000"/>
          <w:sz w:val="32"/>
          <w:szCs w:val="32"/>
        </w:rPr>
        <w:t>（项）</w:t>
      </w:r>
      <w:r>
        <w:rPr>
          <w:rStyle w:val="16"/>
          <w:rFonts w:ascii="仿宋" w:hAnsi="仿宋" w:eastAsia="仿宋"/>
          <w:bCs/>
          <w:color w:val="000000"/>
          <w:sz w:val="32"/>
          <w:szCs w:val="32"/>
        </w:rPr>
        <w:t>:</w:t>
      </w:r>
      <w:r>
        <w:rPr>
          <w:rFonts w:hint="eastAsia" w:ascii="仿宋_GB2312" w:eastAsia="仿宋_GB2312" w:cs="仿宋_GB2312"/>
          <w:kern w:val="0"/>
          <w:sz w:val="32"/>
          <w:szCs w:val="32"/>
          <w:lang w:val="en-US" w:eastAsia="zh-CN"/>
        </w:rPr>
        <w:t>支出决算为6.50万元，</w:t>
      </w:r>
      <w:r>
        <w:rPr>
          <w:rFonts w:hint="eastAsia" w:ascii="仿宋_GB2312" w:eastAsia="仿宋_GB2312" w:cs="仿宋_GB2312"/>
          <w:kern w:val="0"/>
          <w:sz w:val="32"/>
          <w:szCs w:val="32"/>
          <w:highlight w:val="none"/>
          <w:lang w:val="en-US" w:eastAsia="zh-CN"/>
        </w:rPr>
        <w:t>完成预算92.06%。</w:t>
      </w:r>
    </w:p>
    <w:p>
      <w:pPr>
        <w:spacing w:line="600" w:lineRule="exact"/>
        <w:ind w:firstLine="643" w:firstLineChars="200"/>
        <w:rPr>
          <w:rFonts w:hint="eastAsia" w:ascii="仿宋_GB2312" w:eastAsia="仿宋_GB2312" w:cs="仿宋_GB2312"/>
          <w:kern w:val="0"/>
          <w:sz w:val="32"/>
          <w:szCs w:val="32"/>
          <w:highlight w:val="red"/>
          <w:lang w:val="en-US" w:eastAsia="zh-CN"/>
        </w:rPr>
      </w:pPr>
      <w:r>
        <w:rPr>
          <w:rStyle w:val="16"/>
          <w:rFonts w:hint="eastAsia" w:ascii="仿宋" w:hAnsi="仿宋" w:eastAsia="仿宋"/>
          <w:bCs/>
          <w:color w:val="000000"/>
          <w:sz w:val="32"/>
          <w:szCs w:val="32"/>
          <w:lang w:val="en-US" w:eastAsia="zh-CN"/>
        </w:rPr>
        <w:t>6</w:t>
      </w:r>
      <w:r>
        <w:rPr>
          <w:rStyle w:val="16"/>
          <w:rFonts w:ascii="仿宋" w:hAnsi="仿宋" w:eastAsia="仿宋"/>
          <w:bCs/>
          <w:color w:val="000000"/>
          <w:sz w:val="32"/>
          <w:szCs w:val="32"/>
        </w:rPr>
        <w:t>.</w:t>
      </w:r>
      <w:r>
        <w:rPr>
          <w:rStyle w:val="16"/>
          <w:rFonts w:hint="eastAsia" w:ascii="仿宋" w:hAnsi="仿宋" w:eastAsia="仿宋"/>
          <w:bCs/>
          <w:color w:val="000000"/>
          <w:sz w:val="32"/>
          <w:szCs w:val="32"/>
        </w:rPr>
        <w:t>卫生健康支出（类）</w:t>
      </w:r>
      <w:r>
        <w:rPr>
          <w:rStyle w:val="16"/>
          <w:rFonts w:hint="eastAsia" w:ascii="仿宋" w:hAnsi="仿宋" w:eastAsia="仿宋"/>
          <w:bCs/>
          <w:color w:val="000000"/>
          <w:sz w:val="32"/>
          <w:szCs w:val="32"/>
          <w:lang w:eastAsia="zh-CN"/>
        </w:rPr>
        <w:t>公共卫生</w:t>
      </w:r>
      <w:r>
        <w:rPr>
          <w:rStyle w:val="16"/>
          <w:rFonts w:hint="eastAsia" w:ascii="仿宋" w:hAnsi="仿宋" w:eastAsia="仿宋"/>
          <w:bCs/>
          <w:color w:val="000000"/>
          <w:sz w:val="32"/>
          <w:szCs w:val="32"/>
        </w:rPr>
        <w:t>（款）</w:t>
      </w:r>
      <w:r>
        <w:rPr>
          <w:rStyle w:val="16"/>
          <w:rFonts w:hint="eastAsia" w:ascii="仿宋" w:hAnsi="仿宋" w:eastAsia="仿宋"/>
          <w:bCs/>
          <w:color w:val="000000"/>
          <w:sz w:val="32"/>
          <w:szCs w:val="32"/>
          <w:lang w:eastAsia="zh-CN"/>
        </w:rPr>
        <w:t>重大卫生专项</w:t>
      </w:r>
      <w:r>
        <w:rPr>
          <w:rStyle w:val="16"/>
          <w:rFonts w:hint="eastAsia" w:ascii="仿宋" w:hAnsi="仿宋" w:eastAsia="仿宋"/>
          <w:bCs/>
          <w:color w:val="000000"/>
          <w:sz w:val="32"/>
          <w:szCs w:val="32"/>
        </w:rPr>
        <w:t>（项）</w:t>
      </w:r>
      <w:r>
        <w:rPr>
          <w:rStyle w:val="16"/>
          <w:rFonts w:ascii="仿宋" w:hAnsi="仿宋" w:eastAsia="仿宋"/>
          <w:bCs/>
          <w:color w:val="000000"/>
          <w:sz w:val="32"/>
          <w:szCs w:val="32"/>
        </w:rPr>
        <w:t>:</w:t>
      </w:r>
      <w:r>
        <w:rPr>
          <w:rFonts w:hint="eastAsia" w:ascii="仿宋_GB2312" w:eastAsia="仿宋_GB2312" w:cs="仿宋_GB2312"/>
          <w:kern w:val="0"/>
          <w:sz w:val="32"/>
          <w:szCs w:val="32"/>
          <w:lang w:val="en-US" w:eastAsia="zh-CN"/>
        </w:rPr>
        <w:t>支出决算为4.25万元，</w:t>
      </w:r>
      <w:r>
        <w:rPr>
          <w:rFonts w:hint="eastAsia" w:ascii="仿宋_GB2312" w:eastAsia="仿宋_GB2312" w:cs="仿宋_GB2312"/>
          <w:kern w:val="0"/>
          <w:sz w:val="32"/>
          <w:szCs w:val="32"/>
          <w:highlight w:val="none"/>
          <w:lang w:val="en-US" w:eastAsia="zh-CN"/>
        </w:rPr>
        <w:t>完成预算86.22%。</w:t>
      </w:r>
    </w:p>
    <w:p>
      <w:pPr>
        <w:spacing w:line="600" w:lineRule="exact"/>
        <w:ind w:firstLine="643" w:firstLineChars="200"/>
        <w:rPr>
          <w:rFonts w:hint="eastAsia" w:ascii="仿宋_GB2312" w:eastAsia="仿宋_GB2312" w:cs="仿宋_GB2312"/>
          <w:kern w:val="0"/>
          <w:sz w:val="32"/>
          <w:szCs w:val="32"/>
          <w:highlight w:val="none"/>
          <w:lang w:val="en-US" w:eastAsia="zh-CN"/>
        </w:rPr>
      </w:pPr>
      <w:r>
        <w:rPr>
          <w:rStyle w:val="16"/>
          <w:rFonts w:hint="eastAsia" w:ascii="仿宋" w:hAnsi="仿宋" w:eastAsia="仿宋"/>
          <w:bCs/>
          <w:color w:val="000000"/>
          <w:sz w:val="32"/>
          <w:szCs w:val="32"/>
          <w:lang w:val="en-US" w:eastAsia="zh-CN"/>
        </w:rPr>
        <w:t>7</w:t>
      </w:r>
      <w:r>
        <w:rPr>
          <w:rStyle w:val="16"/>
          <w:rFonts w:ascii="仿宋" w:hAnsi="仿宋" w:eastAsia="仿宋"/>
          <w:bCs/>
          <w:color w:val="000000"/>
          <w:sz w:val="32"/>
          <w:szCs w:val="32"/>
        </w:rPr>
        <w:t>.</w:t>
      </w:r>
      <w:r>
        <w:rPr>
          <w:rStyle w:val="16"/>
          <w:rFonts w:hint="eastAsia" w:ascii="仿宋" w:hAnsi="仿宋" w:eastAsia="仿宋"/>
          <w:bCs/>
          <w:color w:val="000000"/>
          <w:sz w:val="32"/>
          <w:szCs w:val="32"/>
        </w:rPr>
        <w:t>卫生健康支出（类）</w:t>
      </w:r>
      <w:r>
        <w:rPr>
          <w:rStyle w:val="16"/>
          <w:rFonts w:hint="eastAsia" w:ascii="仿宋" w:hAnsi="仿宋" w:eastAsia="仿宋"/>
          <w:bCs/>
          <w:color w:val="000000"/>
          <w:sz w:val="32"/>
          <w:szCs w:val="32"/>
          <w:lang w:eastAsia="zh-CN"/>
        </w:rPr>
        <w:t>公共卫生</w:t>
      </w:r>
      <w:r>
        <w:rPr>
          <w:rStyle w:val="16"/>
          <w:rFonts w:hint="eastAsia" w:ascii="仿宋" w:hAnsi="仿宋" w:eastAsia="仿宋"/>
          <w:bCs/>
          <w:color w:val="000000"/>
          <w:sz w:val="32"/>
          <w:szCs w:val="32"/>
        </w:rPr>
        <w:t>（款）</w:t>
      </w:r>
      <w:r>
        <w:rPr>
          <w:rStyle w:val="16"/>
          <w:rFonts w:hint="eastAsia" w:ascii="仿宋" w:hAnsi="仿宋" w:eastAsia="仿宋"/>
          <w:bCs/>
          <w:color w:val="000000"/>
          <w:sz w:val="32"/>
          <w:szCs w:val="32"/>
          <w:lang w:eastAsia="zh-CN"/>
        </w:rPr>
        <w:t>突发公共卫生事件应急处理</w:t>
      </w:r>
      <w:r>
        <w:rPr>
          <w:rStyle w:val="16"/>
          <w:rFonts w:hint="eastAsia" w:ascii="仿宋" w:hAnsi="仿宋" w:eastAsia="仿宋"/>
          <w:bCs/>
          <w:color w:val="000000"/>
          <w:sz w:val="32"/>
          <w:szCs w:val="32"/>
        </w:rPr>
        <w:t>（项）</w:t>
      </w:r>
      <w:r>
        <w:rPr>
          <w:rStyle w:val="16"/>
          <w:rFonts w:ascii="仿宋" w:hAnsi="仿宋" w:eastAsia="仿宋"/>
          <w:bCs/>
          <w:color w:val="000000"/>
          <w:sz w:val="32"/>
          <w:szCs w:val="32"/>
        </w:rPr>
        <w:t>:</w:t>
      </w:r>
      <w:r>
        <w:rPr>
          <w:rFonts w:hint="eastAsia" w:ascii="仿宋_GB2312" w:eastAsia="仿宋_GB2312" w:cs="仿宋_GB2312"/>
          <w:kern w:val="0"/>
          <w:sz w:val="32"/>
          <w:szCs w:val="32"/>
          <w:lang w:val="en-US" w:eastAsia="zh-CN"/>
        </w:rPr>
        <w:t>支出决算为109.88万元，</w:t>
      </w:r>
      <w:r>
        <w:rPr>
          <w:rFonts w:hint="eastAsia" w:ascii="仿宋_GB2312" w:eastAsia="仿宋_GB2312" w:cs="仿宋_GB2312"/>
          <w:kern w:val="0"/>
          <w:sz w:val="32"/>
          <w:szCs w:val="32"/>
          <w:highlight w:val="none"/>
          <w:lang w:val="en-US" w:eastAsia="zh-CN"/>
        </w:rPr>
        <w:t>完成预算100%。</w:t>
      </w:r>
    </w:p>
    <w:p>
      <w:pPr>
        <w:spacing w:line="600" w:lineRule="exact"/>
        <w:ind w:firstLine="643" w:firstLineChars="200"/>
        <w:rPr>
          <w:rFonts w:hint="eastAsia"/>
          <w:lang w:val="en-US" w:eastAsia="zh-CN"/>
        </w:rPr>
      </w:pPr>
      <w:r>
        <w:rPr>
          <w:rStyle w:val="16"/>
          <w:rFonts w:hint="eastAsia" w:ascii="仿宋" w:hAnsi="仿宋" w:eastAsia="仿宋"/>
          <w:bCs/>
          <w:color w:val="000000"/>
          <w:sz w:val="32"/>
          <w:szCs w:val="32"/>
          <w:lang w:val="en-US" w:eastAsia="zh-CN"/>
        </w:rPr>
        <w:t>8</w:t>
      </w:r>
      <w:r>
        <w:rPr>
          <w:rStyle w:val="16"/>
          <w:rFonts w:ascii="仿宋" w:hAnsi="仿宋" w:eastAsia="仿宋"/>
          <w:bCs/>
          <w:color w:val="000000"/>
          <w:sz w:val="32"/>
          <w:szCs w:val="32"/>
        </w:rPr>
        <w:t>.</w:t>
      </w:r>
      <w:r>
        <w:rPr>
          <w:rStyle w:val="16"/>
          <w:rFonts w:hint="eastAsia" w:ascii="仿宋" w:hAnsi="仿宋" w:eastAsia="仿宋"/>
          <w:bCs/>
          <w:color w:val="000000"/>
          <w:sz w:val="32"/>
          <w:szCs w:val="32"/>
        </w:rPr>
        <w:t>卫生健康支出（类）</w:t>
      </w:r>
      <w:r>
        <w:rPr>
          <w:rStyle w:val="16"/>
          <w:rFonts w:hint="eastAsia" w:ascii="仿宋" w:hAnsi="仿宋" w:eastAsia="仿宋"/>
          <w:bCs/>
          <w:color w:val="000000"/>
          <w:sz w:val="32"/>
          <w:szCs w:val="32"/>
          <w:lang w:eastAsia="zh-CN"/>
        </w:rPr>
        <w:t>公共卫生</w:t>
      </w:r>
      <w:r>
        <w:rPr>
          <w:rStyle w:val="16"/>
          <w:rFonts w:hint="eastAsia" w:ascii="仿宋" w:hAnsi="仿宋" w:eastAsia="仿宋"/>
          <w:bCs/>
          <w:color w:val="000000"/>
          <w:sz w:val="32"/>
          <w:szCs w:val="32"/>
        </w:rPr>
        <w:t>（款）</w:t>
      </w:r>
      <w:r>
        <w:rPr>
          <w:rStyle w:val="16"/>
          <w:rFonts w:hint="eastAsia" w:ascii="仿宋" w:hAnsi="仿宋" w:eastAsia="仿宋"/>
          <w:bCs/>
          <w:color w:val="000000"/>
          <w:sz w:val="32"/>
          <w:szCs w:val="32"/>
          <w:lang w:eastAsia="zh-CN"/>
        </w:rPr>
        <w:t>其他公共卫生支出</w:t>
      </w:r>
      <w:r>
        <w:rPr>
          <w:rStyle w:val="16"/>
          <w:rFonts w:hint="eastAsia" w:ascii="仿宋" w:hAnsi="仿宋" w:eastAsia="仿宋"/>
          <w:bCs/>
          <w:color w:val="000000"/>
          <w:sz w:val="32"/>
          <w:szCs w:val="32"/>
        </w:rPr>
        <w:t>（项）</w:t>
      </w:r>
      <w:r>
        <w:rPr>
          <w:rStyle w:val="16"/>
          <w:rFonts w:ascii="仿宋" w:hAnsi="仿宋" w:eastAsia="仿宋"/>
          <w:bCs/>
          <w:color w:val="000000"/>
          <w:sz w:val="32"/>
          <w:szCs w:val="32"/>
        </w:rPr>
        <w:t>:</w:t>
      </w:r>
      <w:r>
        <w:rPr>
          <w:rFonts w:hint="eastAsia" w:ascii="仿宋_GB2312" w:eastAsia="仿宋_GB2312" w:cs="仿宋_GB2312"/>
          <w:kern w:val="0"/>
          <w:sz w:val="32"/>
          <w:szCs w:val="32"/>
          <w:lang w:val="en-US" w:eastAsia="zh-CN"/>
        </w:rPr>
        <w:t>支出决算为11.22万元，</w:t>
      </w:r>
      <w:r>
        <w:rPr>
          <w:rFonts w:hint="eastAsia" w:ascii="仿宋_GB2312" w:eastAsia="仿宋_GB2312" w:cs="仿宋_GB2312"/>
          <w:kern w:val="0"/>
          <w:sz w:val="32"/>
          <w:szCs w:val="32"/>
          <w:highlight w:val="none"/>
          <w:lang w:val="en-US" w:eastAsia="zh-CN"/>
        </w:rPr>
        <w:t>完成预算100%。</w:t>
      </w:r>
    </w:p>
    <w:p>
      <w:pPr>
        <w:numPr>
          <w:ilvl w:val="0"/>
          <w:numId w:val="0"/>
        </w:numPr>
        <w:spacing w:line="600" w:lineRule="exact"/>
        <w:ind w:firstLine="643" w:firstLineChars="200"/>
        <w:rPr>
          <w:rFonts w:hint="eastAsia" w:ascii="仿宋_GB2312" w:eastAsia="仿宋_GB2312" w:cs="仿宋_GB2312"/>
          <w:kern w:val="0"/>
          <w:sz w:val="32"/>
          <w:szCs w:val="32"/>
          <w:highlight w:val="red"/>
          <w:lang w:val="en-US" w:eastAsia="zh-CN"/>
        </w:rPr>
      </w:pPr>
      <w:r>
        <w:rPr>
          <w:rStyle w:val="16"/>
          <w:rFonts w:hint="eastAsia" w:ascii="仿宋" w:hAnsi="仿宋" w:eastAsia="仿宋"/>
          <w:bCs/>
          <w:color w:val="000000"/>
          <w:sz w:val="32"/>
          <w:szCs w:val="32"/>
          <w:lang w:val="en-US" w:eastAsia="zh-CN"/>
        </w:rPr>
        <w:t>9</w:t>
      </w:r>
      <w:r>
        <w:rPr>
          <w:rStyle w:val="16"/>
          <w:rFonts w:ascii="仿宋" w:hAnsi="仿宋" w:eastAsia="仿宋"/>
          <w:bCs/>
          <w:color w:val="000000"/>
          <w:sz w:val="32"/>
          <w:szCs w:val="32"/>
        </w:rPr>
        <w:t>.</w:t>
      </w:r>
      <w:r>
        <w:rPr>
          <w:rStyle w:val="16"/>
          <w:rFonts w:hint="eastAsia" w:ascii="仿宋" w:hAnsi="仿宋" w:eastAsia="仿宋"/>
          <w:bCs/>
          <w:color w:val="000000"/>
          <w:sz w:val="32"/>
          <w:szCs w:val="32"/>
        </w:rPr>
        <w:t>卫生健康支出（类）</w:t>
      </w:r>
      <w:r>
        <w:rPr>
          <w:rStyle w:val="16"/>
          <w:rFonts w:hint="eastAsia" w:ascii="仿宋" w:hAnsi="仿宋" w:eastAsia="仿宋"/>
          <w:bCs/>
          <w:color w:val="000000"/>
          <w:sz w:val="32"/>
          <w:szCs w:val="32"/>
          <w:lang w:eastAsia="zh-CN"/>
        </w:rPr>
        <w:t>行政事业单位医疗</w:t>
      </w:r>
      <w:r>
        <w:rPr>
          <w:rStyle w:val="16"/>
          <w:rFonts w:hint="eastAsia" w:ascii="仿宋" w:hAnsi="仿宋" w:eastAsia="仿宋"/>
          <w:bCs/>
          <w:color w:val="000000"/>
          <w:sz w:val="32"/>
          <w:szCs w:val="32"/>
        </w:rPr>
        <w:t>（款）</w:t>
      </w:r>
      <w:r>
        <w:rPr>
          <w:rStyle w:val="16"/>
          <w:rFonts w:hint="eastAsia" w:ascii="仿宋" w:hAnsi="仿宋" w:eastAsia="仿宋"/>
          <w:bCs/>
          <w:color w:val="000000"/>
          <w:sz w:val="32"/>
          <w:szCs w:val="32"/>
          <w:lang w:eastAsia="zh-CN"/>
        </w:rPr>
        <w:t>事业单位医疗</w:t>
      </w:r>
      <w:r>
        <w:rPr>
          <w:rStyle w:val="16"/>
          <w:rFonts w:hint="eastAsia" w:ascii="仿宋" w:hAnsi="仿宋" w:eastAsia="仿宋"/>
          <w:bCs/>
          <w:color w:val="000000"/>
          <w:sz w:val="32"/>
          <w:szCs w:val="32"/>
        </w:rPr>
        <w:t>（项）</w:t>
      </w:r>
      <w:r>
        <w:rPr>
          <w:rStyle w:val="16"/>
          <w:rFonts w:ascii="仿宋" w:hAnsi="仿宋" w:eastAsia="仿宋"/>
          <w:bCs/>
          <w:color w:val="000000"/>
          <w:sz w:val="32"/>
          <w:szCs w:val="32"/>
        </w:rPr>
        <w:t>:</w:t>
      </w:r>
      <w:r>
        <w:rPr>
          <w:rFonts w:hint="eastAsia" w:ascii="仿宋_GB2312" w:eastAsia="仿宋_GB2312" w:cs="仿宋_GB2312"/>
          <w:kern w:val="0"/>
          <w:sz w:val="32"/>
          <w:szCs w:val="32"/>
          <w:lang w:val="en-US" w:eastAsia="zh-CN"/>
        </w:rPr>
        <w:t>支出决算为32.01万元，</w:t>
      </w:r>
      <w:r>
        <w:rPr>
          <w:rFonts w:hint="eastAsia" w:ascii="仿宋_GB2312" w:eastAsia="仿宋_GB2312" w:cs="仿宋_GB2312"/>
          <w:kern w:val="0"/>
          <w:sz w:val="32"/>
          <w:szCs w:val="32"/>
          <w:highlight w:val="none"/>
          <w:lang w:val="en-US" w:eastAsia="zh-CN"/>
        </w:rPr>
        <w:t>完成预算100%。</w:t>
      </w:r>
    </w:p>
    <w:p>
      <w:pPr>
        <w:numPr>
          <w:ilvl w:val="0"/>
          <w:numId w:val="0"/>
        </w:numPr>
        <w:spacing w:line="600" w:lineRule="exact"/>
        <w:ind w:firstLine="643" w:firstLineChars="200"/>
        <w:rPr>
          <w:rFonts w:hint="eastAsia"/>
          <w:highlight w:val="none"/>
          <w:lang w:val="en-US" w:eastAsia="zh-CN"/>
        </w:rPr>
      </w:pPr>
      <w:r>
        <w:rPr>
          <w:rStyle w:val="16"/>
          <w:rFonts w:hint="eastAsia" w:ascii="仿宋" w:hAnsi="仿宋" w:eastAsia="仿宋"/>
          <w:bCs/>
          <w:color w:val="000000"/>
          <w:sz w:val="32"/>
          <w:szCs w:val="32"/>
          <w:lang w:val="en-US" w:eastAsia="zh-CN"/>
        </w:rPr>
        <w:t>10</w:t>
      </w:r>
      <w:r>
        <w:rPr>
          <w:rStyle w:val="16"/>
          <w:rFonts w:ascii="仿宋" w:hAnsi="仿宋" w:eastAsia="仿宋"/>
          <w:bCs/>
          <w:color w:val="000000"/>
          <w:sz w:val="32"/>
          <w:szCs w:val="32"/>
        </w:rPr>
        <w:t>.</w:t>
      </w:r>
      <w:r>
        <w:rPr>
          <w:rStyle w:val="16"/>
          <w:rFonts w:hint="eastAsia" w:ascii="仿宋" w:hAnsi="仿宋" w:eastAsia="仿宋"/>
          <w:bCs/>
          <w:color w:val="000000"/>
          <w:sz w:val="32"/>
          <w:szCs w:val="32"/>
        </w:rPr>
        <w:t>卫生健康支出（类）</w:t>
      </w:r>
      <w:r>
        <w:rPr>
          <w:rStyle w:val="16"/>
          <w:rFonts w:hint="eastAsia" w:ascii="仿宋" w:hAnsi="仿宋" w:eastAsia="仿宋"/>
          <w:bCs/>
          <w:color w:val="000000"/>
          <w:sz w:val="32"/>
          <w:szCs w:val="32"/>
          <w:lang w:eastAsia="zh-CN"/>
        </w:rPr>
        <w:t>行政事业单位医疗</w:t>
      </w:r>
      <w:r>
        <w:rPr>
          <w:rStyle w:val="16"/>
          <w:rFonts w:hint="eastAsia" w:ascii="仿宋" w:hAnsi="仿宋" w:eastAsia="仿宋"/>
          <w:bCs/>
          <w:color w:val="000000"/>
          <w:sz w:val="32"/>
          <w:szCs w:val="32"/>
        </w:rPr>
        <w:t>（款）</w:t>
      </w:r>
      <w:r>
        <w:rPr>
          <w:rStyle w:val="16"/>
          <w:rFonts w:hint="eastAsia" w:ascii="仿宋" w:hAnsi="仿宋" w:eastAsia="仿宋"/>
          <w:bCs/>
          <w:color w:val="000000"/>
          <w:sz w:val="32"/>
          <w:szCs w:val="32"/>
          <w:lang w:eastAsia="zh-CN"/>
        </w:rPr>
        <w:t>其他行政事业单位医疗支出</w:t>
      </w:r>
      <w:r>
        <w:rPr>
          <w:rStyle w:val="16"/>
          <w:rFonts w:hint="eastAsia" w:ascii="仿宋" w:hAnsi="仿宋" w:eastAsia="仿宋"/>
          <w:bCs/>
          <w:color w:val="000000"/>
          <w:sz w:val="32"/>
          <w:szCs w:val="32"/>
        </w:rPr>
        <w:t>（项）</w:t>
      </w:r>
      <w:r>
        <w:rPr>
          <w:rStyle w:val="16"/>
          <w:rFonts w:ascii="仿宋" w:hAnsi="仿宋" w:eastAsia="仿宋"/>
          <w:bCs/>
          <w:color w:val="000000"/>
          <w:sz w:val="32"/>
          <w:szCs w:val="32"/>
        </w:rPr>
        <w:t>:</w:t>
      </w:r>
      <w:r>
        <w:rPr>
          <w:rFonts w:hint="eastAsia" w:ascii="仿宋_GB2312" w:eastAsia="仿宋_GB2312" w:cs="仿宋_GB2312"/>
          <w:kern w:val="0"/>
          <w:sz w:val="32"/>
          <w:szCs w:val="32"/>
          <w:lang w:val="en-US" w:eastAsia="zh-CN"/>
        </w:rPr>
        <w:t>支出决算为0.62万元，</w:t>
      </w:r>
      <w:r>
        <w:rPr>
          <w:rFonts w:hint="eastAsia" w:ascii="仿宋_GB2312" w:eastAsia="仿宋_GB2312" w:cs="仿宋_GB2312"/>
          <w:kern w:val="0"/>
          <w:sz w:val="32"/>
          <w:szCs w:val="32"/>
          <w:highlight w:val="none"/>
          <w:lang w:val="en-US" w:eastAsia="zh-CN"/>
        </w:rPr>
        <w:t>完成预算100%。</w:t>
      </w:r>
    </w:p>
    <w:p>
      <w:pPr>
        <w:numPr>
          <w:ilvl w:val="0"/>
          <w:numId w:val="0"/>
        </w:numPr>
        <w:spacing w:line="600" w:lineRule="exact"/>
        <w:ind w:firstLine="643" w:firstLineChars="200"/>
        <w:rPr>
          <w:rFonts w:hint="eastAsia" w:ascii="仿宋_GB2312" w:eastAsia="仿宋_GB2312" w:cs="仿宋_GB2312"/>
          <w:kern w:val="0"/>
          <w:sz w:val="32"/>
          <w:szCs w:val="32"/>
          <w:highlight w:val="red"/>
          <w:lang w:val="en-US" w:eastAsia="zh-CN"/>
        </w:rPr>
      </w:pPr>
      <w:r>
        <w:rPr>
          <w:rStyle w:val="16"/>
          <w:rFonts w:hint="eastAsia" w:ascii="仿宋" w:hAnsi="仿宋" w:eastAsia="仿宋"/>
          <w:bCs/>
          <w:color w:val="000000"/>
          <w:sz w:val="32"/>
          <w:szCs w:val="32"/>
          <w:lang w:val="en-US" w:eastAsia="zh-CN"/>
        </w:rPr>
        <w:t>11</w:t>
      </w:r>
      <w:r>
        <w:rPr>
          <w:rStyle w:val="16"/>
          <w:rFonts w:ascii="仿宋" w:hAnsi="仿宋" w:eastAsia="仿宋"/>
          <w:bCs/>
          <w:color w:val="000000"/>
          <w:sz w:val="32"/>
          <w:szCs w:val="32"/>
        </w:rPr>
        <w:t>.</w:t>
      </w:r>
      <w:r>
        <w:rPr>
          <w:rStyle w:val="16"/>
          <w:rFonts w:hint="eastAsia" w:ascii="仿宋" w:hAnsi="仿宋" w:eastAsia="仿宋"/>
          <w:bCs/>
          <w:color w:val="000000"/>
          <w:sz w:val="32"/>
          <w:szCs w:val="32"/>
        </w:rPr>
        <w:t>卫生健康支出（类）</w:t>
      </w:r>
      <w:r>
        <w:rPr>
          <w:rStyle w:val="16"/>
          <w:rFonts w:hint="eastAsia" w:ascii="仿宋" w:hAnsi="仿宋" w:eastAsia="仿宋"/>
          <w:bCs/>
          <w:color w:val="000000"/>
          <w:sz w:val="32"/>
          <w:szCs w:val="32"/>
          <w:lang w:eastAsia="zh-CN"/>
        </w:rPr>
        <w:t>其他卫生健康支出</w:t>
      </w:r>
      <w:r>
        <w:rPr>
          <w:rStyle w:val="16"/>
          <w:rFonts w:hint="eastAsia" w:ascii="仿宋" w:hAnsi="仿宋" w:eastAsia="仿宋"/>
          <w:bCs/>
          <w:color w:val="000000"/>
          <w:sz w:val="32"/>
          <w:szCs w:val="32"/>
        </w:rPr>
        <w:t>（款）</w:t>
      </w:r>
      <w:r>
        <w:rPr>
          <w:rStyle w:val="16"/>
          <w:rFonts w:hint="eastAsia" w:ascii="仿宋" w:hAnsi="仿宋" w:eastAsia="仿宋"/>
          <w:bCs/>
          <w:color w:val="000000"/>
          <w:sz w:val="32"/>
          <w:szCs w:val="32"/>
          <w:lang w:eastAsia="zh-CN"/>
        </w:rPr>
        <w:t>其他卫生健康支出</w:t>
      </w:r>
      <w:r>
        <w:rPr>
          <w:rStyle w:val="16"/>
          <w:rFonts w:hint="eastAsia" w:ascii="仿宋" w:hAnsi="仿宋" w:eastAsia="仿宋"/>
          <w:bCs/>
          <w:color w:val="000000"/>
          <w:sz w:val="32"/>
          <w:szCs w:val="32"/>
        </w:rPr>
        <w:t>（项）</w:t>
      </w:r>
      <w:r>
        <w:rPr>
          <w:rStyle w:val="16"/>
          <w:rFonts w:ascii="仿宋" w:hAnsi="仿宋" w:eastAsia="仿宋"/>
          <w:bCs/>
          <w:color w:val="000000"/>
          <w:sz w:val="32"/>
          <w:szCs w:val="32"/>
        </w:rPr>
        <w:t>:</w:t>
      </w:r>
      <w:r>
        <w:rPr>
          <w:rFonts w:hint="eastAsia" w:ascii="仿宋_GB2312" w:eastAsia="仿宋_GB2312" w:cs="仿宋_GB2312"/>
          <w:kern w:val="0"/>
          <w:sz w:val="32"/>
          <w:szCs w:val="32"/>
          <w:lang w:val="en-US" w:eastAsia="zh-CN"/>
        </w:rPr>
        <w:t>支出决算为3.95万元，</w:t>
      </w:r>
      <w:r>
        <w:rPr>
          <w:rFonts w:hint="eastAsia" w:ascii="仿宋_GB2312" w:eastAsia="仿宋_GB2312" w:cs="仿宋_GB2312"/>
          <w:kern w:val="0"/>
          <w:sz w:val="32"/>
          <w:szCs w:val="32"/>
          <w:highlight w:val="none"/>
          <w:lang w:val="en-US" w:eastAsia="zh-CN"/>
        </w:rPr>
        <w:t>完成预算81.26%。</w:t>
      </w:r>
    </w:p>
    <w:p>
      <w:pPr>
        <w:numPr>
          <w:ilvl w:val="0"/>
          <w:numId w:val="0"/>
        </w:numPr>
        <w:spacing w:line="600" w:lineRule="exact"/>
        <w:ind w:firstLine="643" w:firstLineChars="200"/>
        <w:rPr>
          <w:rFonts w:hint="eastAsia" w:ascii="仿宋_GB2312" w:eastAsia="仿宋_GB2312" w:cs="仿宋_GB2312"/>
          <w:kern w:val="0"/>
          <w:sz w:val="32"/>
          <w:szCs w:val="32"/>
          <w:highlight w:val="red"/>
          <w:lang w:val="en-US" w:eastAsia="zh-CN"/>
        </w:rPr>
      </w:pPr>
      <w:r>
        <w:rPr>
          <w:rStyle w:val="16"/>
          <w:rFonts w:hint="eastAsia" w:ascii="仿宋" w:hAnsi="仿宋" w:eastAsia="仿宋"/>
          <w:bCs/>
          <w:color w:val="000000"/>
          <w:sz w:val="32"/>
          <w:szCs w:val="32"/>
          <w:lang w:val="en-US" w:eastAsia="zh-CN"/>
        </w:rPr>
        <w:t>12</w:t>
      </w:r>
      <w:r>
        <w:rPr>
          <w:rStyle w:val="16"/>
          <w:rFonts w:ascii="仿宋" w:hAnsi="仿宋" w:eastAsia="仿宋"/>
          <w:bCs/>
          <w:color w:val="000000"/>
          <w:sz w:val="32"/>
          <w:szCs w:val="32"/>
        </w:rPr>
        <w:t>.</w:t>
      </w:r>
      <w:r>
        <w:rPr>
          <w:rStyle w:val="16"/>
          <w:rFonts w:hint="eastAsia" w:ascii="仿宋" w:hAnsi="仿宋" w:eastAsia="仿宋"/>
          <w:bCs/>
          <w:color w:val="000000"/>
          <w:sz w:val="32"/>
          <w:szCs w:val="32"/>
          <w:lang w:eastAsia="zh-CN"/>
        </w:rPr>
        <w:t>住房保障支出</w:t>
      </w:r>
      <w:r>
        <w:rPr>
          <w:rStyle w:val="16"/>
          <w:rFonts w:hint="eastAsia" w:ascii="仿宋" w:hAnsi="仿宋" w:eastAsia="仿宋"/>
          <w:bCs/>
          <w:color w:val="000000"/>
          <w:sz w:val="32"/>
          <w:szCs w:val="32"/>
        </w:rPr>
        <w:t>（类）</w:t>
      </w:r>
      <w:r>
        <w:rPr>
          <w:rStyle w:val="16"/>
          <w:rFonts w:hint="eastAsia" w:ascii="仿宋" w:hAnsi="仿宋" w:eastAsia="仿宋"/>
          <w:bCs/>
          <w:color w:val="000000"/>
          <w:sz w:val="32"/>
          <w:szCs w:val="32"/>
          <w:lang w:eastAsia="zh-CN"/>
        </w:rPr>
        <w:t>住房改革支出</w:t>
      </w:r>
      <w:r>
        <w:rPr>
          <w:rStyle w:val="16"/>
          <w:rFonts w:hint="eastAsia" w:ascii="仿宋" w:hAnsi="仿宋" w:eastAsia="仿宋"/>
          <w:bCs/>
          <w:color w:val="000000"/>
          <w:sz w:val="32"/>
          <w:szCs w:val="32"/>
        </w:rPr>
        <w:t>（款）</w:t>
      </w:r>
      <w:r>
        <w:rPr>
          <w:rStyle w:val="16"/>
          <w:rFonts w:hint="eastAsia" w:ascii="仿宋" w:hAnsi="仿宋" w:eastAsia="仿宋"/>
          <w:bCs/>
          <w:color w:val="000000"/>
          <w:sz w:val="32"/>
          <w:szCs w:val="32"/>
          <w:lang w:eastAsia="zh-CN"/>
        </w:rPr>
        <w:t>住房公积金</w:t>
      </w:r>
      <w:r>
        <w:rPr>
          <w:rStyle w:val="16"/>
          <w:rFonts w:hint="eastAsia" w:ascii="仿宋" w:hAnsi="仿宋" w:eastAsia="仿宋"/>
          <w:bCs/>
          <w:color w:val="000000"/>
          <w:sz w:val="32"/>
          <w:szCs w:val="32"/>
        </w:rPr>
        <w:t>（项）</w:t>
      </w:r>
      <w:r>
        <w:rPr>
          <w:rStyle w:val="16"/>
          <w:rFonts w:ascii="仿宋" w:hAnsi="仿宋" w:eastAsia="仿宋"/>
          <w:bCs/>
          <w:color w:val="000000"/>
          <w:sz w:val="32"/>
          <w:szCs w:val="32"/>
        </w:rPr>
        <w:t>:</w:t>
      </w:r>
      <w:r>
        <w:rPr>
          <w:rFonts w:hint="eastAsia" w:ascii="仿宋_GB2312" w:eastAsia="仿宋_GB2312" w:cs="仿宋_GB2312"/>
          <w:kern w:val="0"/>
          <w:sz w:val="32"/>
          <w:szCs w:val="32"/>
          <w:lang w:val="en-US" w:eastAsia="zh-CN"/>
        </w:rPr>
        <w:t>支出决算为49.44万元，</w:t>
      </w:r>
      <w:r>
        <w:rPr>
          <w:rFonts w:hint="eastAsia" w:ascii="仿宋_GB2312" w:eastAsia="仿宋_GB2312" w:cs="仿宋_GB2312"/>
          <w:kern w:val="0"/>
          <w:sz w:val="32"/>
          <w:szCs w:val="32"/>
          <w:highlight w:val="none"/>
          <w:lang w:val="en-US" w:eastAsia="zh-CN"/>
        </w:rPr>
        <w:t>完成预算100%。</w:t>
      </w:r>
    </w:p>
    <w:p>
      <w:pPr>
        <w:spacing w:line="600" w:lineRule="exact"/>
        <w:ind w:firstLine="643" w:firstLineChars="200"/>
        <w:rPr>
          <w:rFonts w:ascii="仿宋" w:hAnsi="仿宋" w:eastAsia="仿宋"/>
          <w:b/>
          <w:color w:val="000000"/>
          <w:sz w:val="32"/>
          <w:szCs w:val="32"/>
          <w:highlight w:val="red"/>
        </w:rPr>
      </w:pPr>
      <w:r>
        <w:rPr>
          <w:rStyle w:val="16"/>
          <w:rFonts w:hint="eastAsia" w:ascii="仿宋" w:hAnsi="仿宋" w:eastAsia="仿宋"/>
          <w:bCs/>
          <w:color w:val="000000"/>
          <w:sz w:val="32"/>
          <w:szCs w:val="32"/>
          <w:lang w:val="en-US" w:eastAsia="zh-CN"/>
        </w:rPr>
        <w:t>13</w:t>
      </w:r>
      <w:r>
        <w:rPr>
          <w:rStyle w:val="16"/>
          <w:rFonts w:ascii="仿宋" w:hAnsi="仿宋" w:eastAsia="仿宋"/>
          <w:bCs/>
          <w:color w:val="000000"/>
          <w:sz w:val="32"/>
          <w:szCs w:val="32"/>
        </w:rPr>
        <w:t>.</w:t>
      </w:r>
      <w:r>
        <w:rPr>
          <w:rStyle w:val="16"/>
          <w:rFonts w:hint="eastAsia" w:ascii="仿宋" w:hAnsi="仿宋" w:eastAsia="仿宋"/>
          <w:bCs/>
          <w:color w:val="000000"/>
          <w:sz w:val="32"/>
          <w:szCs w:val="32"/>
          <w:lang w:eastAsia="zh-CN"/>
        </w:rPr>
        <w:t>其他支出</w:t>
      </w:r>
      <w:r>
        <w:rPr>
          <w:rStyle w:val="16"/>
          <w:rFonts w:hint="eastAsia" w:ascii="仿宋" w:hAnsi="仿宋" w:eastAsia="仿宋"/>
          <w:bCs/>
          <w:color w:val="000000"/>
          <w:sz w:val="32"/>
          <w:szCs w:val="32"/>
        </w:rPr>
        <w:t>（类）</w:t>
      </w:r>
      <w:r>
        <w:rPr>
          <w:rStyle w:val="16"/>
          <w:rFonts w:hint="eastAsia" w:ascii="仿宋" w:hAnsi="仿宋" w:eastAsia="仿宋"/>
          <w:bCs/>
          <w:color w:val="000000"/>
          <w:sz w:val="32"/>
          <w:szCs w:val="32"/>
          <w:lang w:eastAsia="zh-CN"/>
        </w:rPr>
        <w:t>其他支出</w:t>
      </w:r>
      <w:r>
        <w:rPr>
          <w:rStyle w:val="16"/>
          <w:rFonts w:hint="eastAsia" w:ascii="仿宋" w:hAnsi="仿宋" w:eastAsia="仿宋"/>
          <w:bCs/>
          <w:color w:val="000000"/>
          <w:sz w:val="32"/>
          <w:szCs w:val="32"/>
        </w:rPr>
        <w:t>（款）</w:t>
      </w:r>
      <w:r>
        <w:rPr>
          <w:rStyle w:val="16"/>
          <w:rFonts w:hint="eastAsia" w:ascii="仿宋" w:hAnsi="仿宋" w:eastAsia="仿宋"/>
          <w:bCs/>
          <w:color w:val="000000"/>
          <w:sz w:val="32"/>
          <w:szCs w:val="32"/>
          <w:lang w:eastAsia="zh-CN"/>
        </w:rPr>
        <w:t>其他支出</w:t>
      </w:r>
      <w:r>
        <w:rPr>
          <w:rStyle w:val="16"/>
          <w:rFonts w:hint="eastAsia" w:ascii="仿宋" w:hAnsi="仿宋" w:eastAsia="仿宋"/>
          <w:bCs/>
          <w:color w:val="000000"/>
          <w:sz w:val="32"/>
          <w:szCs w:val="32"/>
        </w:rPr>
        <w:t>（项）</w:t>
      </w:r>
      <w:r>
        <w:rPr>
          <w:rStyle w:val="16"/>
          <w:rFonts w:ascii="仿宋" w:hAnsi="仿宋" w:eastAsia="仿宋"/>
          <w:bCs/>
          <w:color w:val="000000"/>
          <w:sz w:val="32"/>
          <w:szCs w:val="32"/>
        </w:rPr>
        <w:t>:</w:t>
      </w:r>
      <w:r>
        <w:rPr>
          <w:rFonts w:hint="eastAsia" w:ascii="仿宋_GB2312" w:eastAsia="仿宋_GB2312" w:cs="仿宋_GB2312"/>
          <w:kern w:val="0"/>
          <w:sz w:val="32"/>
          <w:szCs w:val="32"/>
          <w:lang w:val="en-US" w:eastAsia="zh-CN"/>
        </w:rPr>
        <w:t>支出决算为76.30万元，</w:t>
      </w:r>
      <w:r>
        <w:rPr>
          <w:rFonts w:hint="eastAsia" w:ascii="仿宋_GB2312" w:eastAsia="仿宋_GB2312" w:cs="仿宋_GB2312"/>
          <w:kern w:val="0"/>
          <w:sz w:val="32"/>
          <w:szCs w:val="32"/>
          <w:highlight w:val="none"/>
          <w:lang w:val="en-US" w:eastAsia="zh-CN"/>
        </w:rPr>
        <w:t>完成预算100%。</w:t>
      </w:r>
    </w:p>
    <w:p>
      <w:pPr>
        <w:spacing w:line="600" w:lineRule="exact"/>
        <w:ind w:firstLine="640"/>
        <w:rPr>
          <w:rFonts w:ascii="仿宋" w:hAnsi="仿宋" w:eastAsia="仿宋"/>
          <w:b/>
          <w:color w:val="auto"/>
          <w:sz w:val="32"/>
          <w:szCs w:val="32"/>
          <w:highlight w:val="none"/>
        </w:rPr>
      </w:pPr>
    </w:p>
    <w:p>
      <w:pPr>
        <w:pStyle w:val="2"/>
        <w:rPr>
          <w:rFonts w:ascii="仿宋" w:hAnsi="仿宋" w:eastAsia="仿宋"/>
          <w:b/>
          <w:color w:val="auto"/>
          <w:sz w:val="32"/>
          <w:szCs w:val="32"/>
          <w:highlight w:val="none"/>
        </w:rPr>
      </w:pPr>
    </w:p>
    <w:p>
      <w:pPr>
        <w:pStyle w:val="2"/>
        <w:rPr>
          <w:rFonts w:ascii="仿宋" w:hAnsi="仿宋" w:eastAsia="仿宋"/>
          <w:b/>
          <w:color w:val="auto"/>
          <w:sz w:val="32"/>
          <w:szCs w:val="32"/>
          <w:highlight w:val="none"/>
        </w:rPr>
      </w:pPr>
    </w:p>
    <w:p>
      <w:pPr>
        <w:pStyle w:val="2"/>
        <w:rPr>
          <w:rFonts w:ascii="仿宋" w:hAnsi="仿宋" w:eastAsia="仿宋"/>
          <w:b/>
          <w:color w:val="auto"/>
          <w:sz w:val="32"/>
          <w:szCs w:val="32"/>
          <w:highlight w:val="none"/>
        </w:rPr>
      </w:pPr>
    </w:p>
    <w:p>
      <w:pPr>
        <w:tabs>
          <w:tab w:val="right" w:pos="8306"/>
        </w:tabs>
        <w:spacing w:line="600" w:lineRule="exact"/>
        <w:ind w:firstLine="640"/>
        <w:outlineLvl w:val="1"/>
        <w:rPr>
          <w:rStyle w:val="27"/>
          <w:color w:val="auto"/>
          <w:highlight w:val="none"/>
        </w:rPr>
      </w:pPr>
      <w:bookmarkStart w:id="50" w:name="_Toc15377214"/>
      <w:bookmarkStart w:id="51" w:name="_Toc17223"/>
      <w:bookmarkStart w:id="52" w:name="_Toc15396608"/>
      <w:r>
        <w:rPr>
          <w:rFonts w:hint="eastAsia" w:ascii="黑体" w:eastAsia="黑体"/>
          <w:color w:val="auto"/>
          <w:sz w:val="32"/>
          <w:szCs w:val="32"/>
          <w:highlight w:val="none"/>
        </w:rPr>
        <w:t>六</w:t>
      </w:r>
      <w:r>
        <w:rPr>
          <w:rFonts w:hint="eastAsia" w:ascii="黑体" w:eastAsia="黑体"/>
          <w:b/>
          <w:color w:val="auto"/>
          <w:sz w:val="32"/>
          <w:szCs w:val="32"/>
          <w:highlight w:val="none"/>
        </w:rPr>
        <w:t>、</w:t>
      </w:r>
      <w:r>
        <w:rPr>
          <w:rFonts w:hint="eastAsia" w:ascii="黑体" w:hAnsi="黑体" w:eastAsia="黑体"/>
          <w:b/>
          <w:color w:val="auto"/>
          <w:sz w:val="32"/>
          <w:szCs w:val="32"/>
          <w:highlight w:val="none"/>
        </w:rPr>
        <w:t>一</w:t>
      </w:r>
      <w:r>
        <w:rPr>
          <w:rStyle w:val="27"/>
          <w:rFonts w:hint="eastAsia" w:ascii="黑体" w:hAnsi="黑体" w:eastAsia="黑体"/>
          <w:b w:val="0"/>
          <w:color w:val="auto"/>
          <w:highlight w:val="none"/>
        </w:rPr>
        <w:t>般公共预算财政拨款基本支出决算情况说明</w:t>
      </w:r>
      <w:bookmarkEnd w:id="50"/>
      <w:bookmarkEnd w:id="51"/>
      <w:bookmarkEnd w:id="52"/>
      <w:r>
        <w:rPr>
          <w:rStyle w:val="27"/>
          <w:rFonts w:ascii="黑体" w:hAnsi="黑体" w:eastAsia="黑体"/>
          <w:b w:val="0"/>
          <w:color w:val="auto"/>
          <w:highlight w:val="none"/>
        </w:rPr>
        <w:tab/>
      </w:r>
    </w:p>
    <w:p>
      <w:pPr>
        <w:spacing w:line="600" w:lineRule="exact"/>
        <w:rPr>
          <w:rFonts w:ascii="仿宋" w:hAnsi="仿宋" w:eastAsia="仿宋"/>
          <w:color w:val="auto"/>
          <w:sz w:val="32"/>
          <w:szCs w:val="32"/>
          <w:highlight w:val="none"/>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年一般公共预算财政拨款基本支出</w:t>
      </w:r>
      <w:r>
        <w:rPr>
          <w:rFonts w:hint="eastAsia" w:ascii="仿宋" w:hAnsi="仿宋" w:eastAsia="仿宋"/>
          <w:color w:val="auto"/>
          <w:sz w:val="32"/>
          <w:szCs w:val="32"/>
          <w:highlight w:val="none"/>
          <w:lang w:val="en-US" w:eastAsia="zh-CN"/>
        </w:rPr>
        <w:t>888.63</w:t>
      </w:r>
      <w:r>
        <w:rPr>
          <w:rFonts w:hint="eastAsia" w:ascii="仿宋" w:hAnsi="仿宋" w:eastAsia="仿宋"/>
          <w:color w:val="auto"/>
          <w:sz w:val="32"/>
          <w:szCs w:val="32"/>
          <w:highlight w:val="none"/>
        </w:rPr>
        <w:t>万元，其中：人员经费</w:t>
      </w:r>
      <w:r>
        <w:rPr>
          <w:rFonts w:hint="eastAsia" w:ascii="仿宋" w:hAnsi="仿宋" w:eastAsia="仿宋"/>
          <w:color w:val="auto"/>
          <w:sz w:val="32"/>
          <w:szCs w:val="32"/>
          <w:highlight w:val="none"/>
          <w:lang w:val="en-US" w:eastAsia="zh-CN"/>
        </w:rPr>
        <w:t>776.32</w:t>
      </w:r>
      <w:r>
        <w:rPr>
          <w:rFonts w:hint="eastAsia" w:ascii="仿宋" w:hAnsi="仿宋" w:eastAsia="仿宋"/>
          <w:color w:val="auto"/>
          <w:sz w:val="32"/>
          <w:szCs w:val="32"/>
          <w:highlight w:val="none"/>
        </w:rPr>
        <w:t>万元，主要包括：基本工资、津贴补贴、奖金、伙食补助费、绩效工资、机关事业单位基本养老保险缴费、职业年金缴费、其他社会保障缴费、其他工资福利支出、离休费、退休费、抚恤金、生活补助、医疗费补助、奖励金、住房公积金、其他对个人和家庭的补助支出等。</w:t>
      </w:r>
      <w:r>
        <w:rPr>
          <w:rFonts w:ascii="仿宋" w:hAnsi="仿宋" w:eastAsia="仿宋"/>
          <w:color w:val="auto"/>
          <w:sz w:val="32"/>
          <w:szCs w:val="32"/>
          <w:highlight w:val="none"/>
        </w:rPr>
        <w:br w:type="textWrapping"/>
      </w:r>
      <w:r>
        <w:rPr>
          <w:rFonts w:hint="eastAsia" w:ascii="仿宋" w:hAnsi="仿宋" w:eastAsia="仿宋"/>
          <w:color w:val="auto"/>
          <w:sz w:val="32"/>
          <w:szCs w:val="32"/>
          <w:highlight w:val="none"/>
        </w:rPr>
        <w:t>　　公用经费</w:t>
      </w:r>
      <w:r>
        <w:rPr>
          <w:rFonts w:hint="eastAsia" w:ascii="仿宋" w:hAnsi="仿宋" w:eastAsia="仿宋"/>
          <w:color w:val="auto"/>
          <w:sz w:val="32"/>
          <w:szCs w:val="32"/>
          <w:highlight w:val="none"/>
          <w:lang w:val="en-US" w:eastAsia="zh-CN"/>
        </w:rPr>
        <w:t>112.31</w:t>
      </w:r>
      <w:r>
        <w:rPr>
          <w:rFonts w:hint="eastAsia" w:ascii="仿宋" w:hAnsi="仿宋" w:eastAsia="仿宋"/>
          <w:color w:val="auto"/>
          <w:sz w:val="32"/>
          <w:szCs w:val="32"/>
          <w:highlight w:val="none"/>
        </w:rPr>
        <w:t>万元，主要包括：办公费、印刷费、咨询费、手续费、水费、电费、邮电费、取暖费、物业管理费、差旅费、因公出国（境）费用、维修（护）费、租赁费、会议费、培训费、公务接待费、劳务费、委托业务费、工会经费、福利费、公务用车运行维护费、其他交通费、税金及附加费用、其他商品和服务支出、办公设备购置、专用设备购置、信息网络及软件购置更新、其他资本性支出等。</w:t>
      </w:r>
    </w:p>
    <w:p>
      <w:pPr>
        <w:spacing w:line="600" w:lineRule="exact"/>
        <w:ind w:firstLine="640"/>
        <w:rPr>
          <w:rFonts w:ascii="仿宋" w:hAnsi="仿宋" w:eastAsia="仿宋"/>
          <w:b/>
          <w:color w:val="auto"/>
          <w:sz w:val="32"/>
          <w:szCs w:val="32"/>
          <w:highlight w:val="none"/>
        </w:rPr>
      </w:pPr>
    </w:p>
    <w:p>
      <w:pPr>
        <w:spacing w:line="600" w:lineRule="exact"/>
        <w:ind w:firstLine="640"/>
        <w:outlineLvl w:val="1"/>
        <w:rPr>
          <w:rStyle w:val="27"/>
          <w:rFonts w:ascii="黑体" w:hAnsi="黑体" w:eastAsia="黑体"/>
          <w:b w:val="0"/>
          <w:color w:val="auto"/>
          <w:highlight w:val="none"/>
        </w:rPr>
      </w:pPr>
      <w:bookmarkStart w:id="53" w:name="_Toc15396609"/>
      <w:bookmarkStart w:id="54" w:name="_Toc17676"/>
      <w:bookmarkStart w:id="55" w:name="_Toc15377215"/>
      <w:r>
        <w:rPr>
          <w:rFonts w:hint="eastAsia" w:ascii="黑体" w:eastAsia="黑体"/>
          <w:color w:val="auto"/>
          <w:sz w:val="32"/>
          <w:szCs w:val="32"/>
          <w:highlight w:val="none"/>
        </w:rPr>
        <w:t>七、</w:t>
      </w:r>
      <w:r>
        <w:rPr>
          <w:rStyle w:val="27"/>
          <w:rFonts w:hint="eastAsia" w:ascii="黑体" w:hAnsi="黑体" w:eastAsia="黑体"/>
          <w:b w:val="0"/>
          <w:color w:val="auto"/>
          <w:highlight w:val="none"/>
        </w:rPr>
        <w:t>财政拨款</w:t>
      </w:r>
      <w:r>
        <w:rPr>
          <w:rStyle w:val="27"/>
          <w:rFonts w:hint="eastAsia" w:ascii="黑体" w:hAnsi="黑体" w:eastAsia="黑体"/>
          <w:color w:val="auto"/>
          <w:highlight w:val="none"/>
        </w:rPr>
        <w:t>“</w:t>
      </w:r>
      <w:r>
        <w:rPr>
          <w:rStyle w:val="27"/>
          <w:rFonts w:hint="eastAsia" w:ascii="黑体" w:hAnsi="黑体" w:eastAsia="黑体"/>
          <w:b w:val="0"/>
          <w:color w:val="auto"/>
          <w:highlight w:val="none"/>
        </w:rPr>
        <w:t>三公”经费支出决算情况说明</w:t>
      </w:r>
      <w:bookmarkEnd w:id="53"/>
      <w:bookmarkEnd w:id="54"/>
      <w:bookmarkEnd w:id="55"/>
    </w:p>
    <w:p>
      <w:pPr>
        <w:spacing w:line="600" w:lineRule="exact"/>
        <w:ind w:firstLine="640"/>
        <w:outlineLvl w:val="2"/>
        <w:rPr>
          <w:rFonts w:ascii="仿宋" w:hAnsi="仿宋" w:eastAsia="仿宋"/>
          <w:b/>
          <w:color w:val="auto"/>
          <w:sz w:val="32"/>
          <w:szCs w:val="32"/>
          <w:highlight w:val="none"/>
        </w:rPr>
      </w:pPr>
      <w:bookmarkStart w:id="56" w:name="_Toc15377216"/>
      <w:r>
        <w:rPr>
          <w:rFonts w:hint="eastAsia" w:ascii="仿宋" w:hAnsi="仿宋" w:eastAsia="仿宋"/>
          <w:b/>
          <w:color w:val="auto"/>
          <w:sz w:val="32"/>
          <w:szCs w:val="32"/>
          <w:highlight w:val="none"/>
        </w:rPr>
        <w:t>（一）“三公”经费财政拨款支出决算总体情况说明</w:t>
      </w:r>
      <w:bookmarkEnd w:id="56"/>
    </w:p>
    <w:p>
      <w:pPr>
        <w:spacing w:line="600" w:lineRule="exact"/>
        <w:ind w:firstLine="640"/>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年“三公”经费财政拨款支出决算为</w:t>
      </w:r>
      <w:r>
        <w:rPr>
          <w:rFonts w:hint="eastAsia" w:ascii="仿宋" w:hAnsi="仿宋" w:eastAsia="仿宋"/>
          <w:color w:val="auto"/>
          <w:sz w:val="32"/>
          <w:szCs w:val="32"/>
          <w:highlight w:val="none"/>
          <w:lang w:val="en-US" w:eastAsia="zh-CN"/>
        </w:rPr>
        <w:t>16.06</w:t>
      </w:r>
      <w:r>
        <w:rPr>
          <w:rFonts w:hint="eastAsia" w:ascii="仿宋" w:hAnsi="仿宋" w:eastAsia="仿宋"/>
          <w:color w:val="auto"/>
          <w:sz w:val="32"/>
          <w:szCs w:val="32"/>
          <w:highlight w:val="none"/>
        </w:rPr>
        <w:t>万元，完成预算</w:t>
      </w:r>
      <w:r>
        <w:rPr>
          <w:rFonts w:hint="eastAsia" w:ascii="仿宋" w:hAnsi="仿宋" w:eastAsia="仿宋"/>
          <w:color w:val="auto"/>
          <w:sz w:val="32"/>
          <w:szCs w:val="32"/>
          <w:highlight w:val="none"/>
          <w:lang w:val="en-US" w:eastAsia="zh-CN"/>
        </w:rPr>
        <w:t>100</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color w:val="auto"/>
          <w:sz w:val="32"/>
          <w:szCs w:val="32"/>
          <w:highlight w:val="none"/>
          <w:lang w:eastAsia="zh-CN"/>
        </w:rPr>
        <w:t>较上年增加</w:t>
      </w:r>
      <w:r>
        <w:rPr>
          <w:rFonts w:hint="eastAsia" w:ascii="仿宋" w:hAnsi="仿宋" w:eastAsia="仿宋"/>
          <w:color w:val="auto"/>
          <w:sz w:val="32"/>
          <w:szCs w:val="32"/>
          <w:highlight w:val="none"/>
          <w:lang w:val="en-US" w:eastAsia="zh-CN"/>
        </w:rPr>
        <w:t>3.13万元，增长24.21%。</w:t>
      </w:r>
    </w:p>
    <w:p>
      <w:pPr>
        <w:spacing w:line="600" w:lineRule="exact"/>
        <w:ind w:firstLine="640"/>
        <w:outlineLvl w:val="2"/>
        <w:rPr>
          <w:rFonts w:hint="eastAsia" w:ascii="仿宋" w:hAnsi="仿宋" w:eastAsia="仿宋"/>
          <w:b/>
          <w:color w:val="auto"/>
          <w:sz w:val="32"/>
          <w:szCs w:val="32"/>
          <w:highlight w:val="none"/>
        </w:rPr>
      </w:pPr>
      <w:bookmarkStart w:id="57" w:name="_Toc15377217"/>
    </w:p>
    <w:p>
      <w:pPr>
        <w:spacing w:line="600" w:lineRule="exact"/>
        <w:ind w:firstLine="640"/>
        <w:outlineLvl w:val="2"/>
        <w:rPr>
          <w:rFonts w:ascii="仿宋" w:hAnsi="仿宋" w:eastAsia="仿宋"/>
          <w:b/>
          <w:color w:val="auto"/>
          <w:sz w:val="32"/>
          <w:szCs w:val="32"/>
          <w:highlight w:val="none"/>
        </w:rPr>
      </w:pPr>
      <w:r>
        <w:rPr>
          <w:rFonts w:hint="eastAsia" w:ascii="仿宋" w:hAnsi="仿宋" w:eastAsia="仿宋"/>
          <w:b/>
          <w:color w:val="auto"/>
          <w:sz w:val="32"/>
          <w:szCs w:val="32"/>
          <w:highlight w:val="none"/>
        </w:rPr>
        <w:t>（二）“三公”经费财政拨款支出决算具体情况说明</w:t>
      </w:r>
      <w:bookmarkEnd w:id="57"/>
    </w:p>
    <w:p>
      <w:pPr>
        <w:spacing w:line="600" w:lineRule="exact"/>
        <w:ind w:firstLine="640"/>
        <w:rPr>
          <w:rFonts w:hint="eastAsia" w:ascii="仿宋" w:hAnsi="仿宋" w:eastAsia="仿宋"/>
          <w:color w:val="auto"/>
          <w:sz w:val="32"/>
          <w:szCs w:val="32"/>
          <w:highlight w:val="none"/>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年“三公”经费财政拨款支出决算中，因公出国（境）费支出决算</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0</w:t>
      </w:r>
      <w:r>
        <w:rPr>
          <w:rFonts w:ascii="仿宋" w:hAnsi="仿宋" w:eastAsia="仿宋"/>
          <w:color w:val="auto"/>
          <w:sz w:val="32"/>
          <w:szCs w:val="32"/>
          <w:highlight w:val="none"/>
        </w:rPr>
        <w:t>%</w:t>
      </w:r>
      <w:r>
        <w:rPr>
          <w:rFonts w:hint="eastAsia" w:ascii="仿宋" w:hAnsi="仿宋" w:eastAsia="仿宋"/>
          <w:color w:val="auto"/>
          <w:sz w:val="32"/>
          <w:szCs w:val="32"/>
          <w:highlight w:val="none"/>
        </w:rPr>
        <w:t>；公务用车购置及运行维护费支出决算</w:t>
      </w:r>
      <w:r>
        <w:rPr>
          <w:rFonts w:hint="eastAsia" w:ascii="仿宋" w:hAnsi="仿宋" w:eastAsia="仿宋"/>
          <w:color w:val="auto"/>
          <w:sz w:val="32"/>
          <w:szCs w:val="32"/>
          <w:highlight w:val="none"/>
          <w:lang w:val="en-US" w:eastAsia="zh-CN"/>
        </w:rPr>
        <w:t>15.60</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97.14</w:t>
      </w:r>
      <w:r>
        <w:rPr>
          <w:rFonts w:ascii="仿宋" w:hAnsi="仿宋" w:eastAsia="仿宋"/>
          <w:color w:val="auto"/>
          <w:sz w:val="32"/>
          <w:szCs w:val="32"/>
          <w:highlight w:val="none"/>
        </w:rPr>
        <w:t>%</w:t>
      </w:r>
      <w:r>
        <w:rPr>
          <w:rFonts w:hint="eastAsia" w:ascii="仿宋" w:hAnsi="仿宋" w:eastAsia="仿宋"/>
          <w:color w:val="auto"/>
          <w:sz w:val="32"/>
          <w:szCs w:val="32"/>
          <w:highlight w:val="none"/>
        </w:rPr>
        <w:t>；公务接待费支出决算</w:t>
      </w:r>
      <w:r>
        <w:rPr>
          <w:rFonts w:hint="eastAsia" w:ascii="仿宋" w:hAnsi="仿宋" w:eastAsia="仿宋"/>
          <w:color w:val="auto"/>
          <w:sz w:val="32"/>
          <w:szCs w:val="32"/>
          <w:highlight w:val="none"/>
          <w:lang w:val="en-US" w:eastAsia="zh-CN"/>
        </w:rPr>
        <w:t>0.46</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2.86</w:t>
      </w:r>
      <w:r>
        <w:rPr>
          <w:rFonts w:ascii="仿宋" w:hAnsi="仿宋" w:eastAsia="仿宋"/>
          <w:color w:val="auto"/>
          <w:sz w:val="32"/>
          <w:szCs w:val="32"/>
          <w:highlight w:val="none"/>
        </w:rPr>
        <w:t>%</w:t>
      </w:r>
      <w:r>
        <w:rPr>
          <w:rFonts w:hint="eastAsia" w:ascii="仿宋" w:hAnsi="仿宋" w:eastAsia="仿宋"/>
          <w:color w:val="auto"/>
          <w:sz w:val="32"/>
          <w:szCs w:val="32"/>
          <w:highlight w:val="none"/>
        </w:rPr>
        <w:t>。具体情况如下：</w:t>
      </w:r>
    </w:p>
    <w:p>
      <w:pPr>
        <w:pStyle w:val="2"/>
        <w:rPr>
          <w:rFonts w:hint="eastAsia" w:ascii="仿宋" w:hAnsi="仿宋" w:eastAsia="仿宋"/>
          <w:color w:val="auto"/>
          <w:sz w:val="32"/>
          <w:szCs w:val="32"/>
          <w:highlight w:val="none"/>
        </w:rPr>
      </w:pPr>
    </w:p>
    <w:p>
      <w:pPr>
        <w:pStyle w:val="2"/>
        <w:rPr>
          <w:rFonts w:hint="eastAsia" w:ascii="仿宋" w:hAnsi="仿宋" w:eastAsia="仿宋"/>
          <w:color w:val="auto"/>
          <w:sz w:val="32"/>
          <w:szCs w:val="32"/>
          <w:highlight w:val="none"/>
          <w:lang w:eastAsia="zh-CN"/>
        </w:rPr>
      </w:pPr>
      <w:r>
        <w:rPr>
          <w:sz w:val="32"/>
        </w:rPr>
        <mc:AlternateContent>
          <mc:Choice Requires="wps">
            <w:drawing>
              <wp:anchor distT="0" distB="0" distL="114300" distR="114300" simplePos="0" relativeHeight="251668480" behindDoc="0" locked="0" layoutInCell="1" allowOverlap="1">
                <wp:simplePos x="0" y="0"/>
                <wp:positionH relativeFrom="column">
                  <wp:posOffset>995045</wp:posOffset>
                </wp:positionH>
                <wp:positionV relativeFrom="paragraph">
                  <wp:posOffset>670560</wp:posOffset>
                </wp:positionV>
                <wp:extent cx="816610" cy="59690"/>
                <wp:effectExtent l="635" t="4445" r="1905" b="12065"/>
                <wp:wrapNone/>
                <wp:docPr id="26" name="直接连接符 26"/>
                <wp:cNvGraphicFramePr/>
                <a:graphic xmlns:a="http://schemas.openxmlformats.org/drawingml/2006/main">
                  <a:graphicData uri="http://schemas.microsoft.com/office/word/2010/wordprocessingShape">
                    <wps:wsp>
                      <wps:cNvCnPr>
                        <a:endCxn id="29" idx="3"/>
                      </wps:cNvCnPr>
                      <wps:spPr>
                        <a:xfrm flipH="1">
                          <a:off x="0" y="0"/>
                          <a:ext cx="816610" cy="5969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margin-left:78.35pt;margin-top:52.8pt;height:4.7pt;width:64.3pt;z-index:251668480;mso-width-relative:page;mso-height-relative:page;" filled="f" stroked="t" coordsize="21600,21600" o:gfxdata="UEsDBAoAAAAAAIdO4kAAAAAAAAAAAAAAAAAEAAAAZHJzL1BLAwQUAAAACACHTuJAJTgpE9kAAAAL&#10;AQAADwAAAGRycy9kb3ducmV2LnhtbE2PT0+EMBDF7yZ+h2ZMvLkta8ANUjbEhIuaGNHL3godAZdO&#10;Ce3++/aOJ73Nm3l583vF9uwmccQljJ40JCsFAqnzdqRew+dHfbcBEaIhayZPqOGCAbbl9VVhcutP&#10;9I7HJvaCQyjkRsMQ45xLGboBnQkrPyPx7csvzkSWSy/tYk4c7ia5ViqTzozEHwYz49OA3b45OA11&#10;Ow4vla/714v7xmZf7aq3553WtzeJegQR8Rz/zPCLz+hQMlPrD2SDmFin2QNbeVBpBoId6016D6Ll&#10;TZIqkGUh/3cofwBQSwMEFAAAAAgAh07iQGMxciAVAgAACgQAAA4AAABkcnMvZTJvRG9jLnhtbK1T&#10;S3ITMRDdU8UdVNrjGRts4imPU8QmsIDgKuAAbY1mRlX6laR47EtwAarYhRVL9rkN4Ri0NBOHhE0W&#10;bPTpz1O/163F6V5JsuPOC6NLOh7llHDNTCV0U9LPn86fnVDiA+gKpNG8pAfu6eny6ZNFZws+Ma2R&#10;FXcEQbQvOlvSNgRbZJlnLVfgR8Zyjc7aOAUBr67JKgcdoiuZTfJ8lnXGVdYZxr1H67p30gHRPQbQ&#10;1LVgfG3YpeI69KiOSwhIybfCerpM1dY1Z+FDXXseiCwpMg1pxUfwvI1rtlxA0TiwrWBDCfCYEh5w&#10;UiA0PnqEWkMAcunEP1BKMGe8qcOIGZX1RJIiyGKcP9DmYwuWJy4otbdH0f3/g2UXu40joirpZEaJ&#10;BoUdv/n689eXq9/X33C9+fGdoAdl6qwvMHqlNy4S5bpa7XWfOae470v6PMZl9wLjxds+ZV87RWop&#10;7Fucu6QW8ieYh804HJvB94EwNJ6MZ7Mxehi6pvPZPPUqgyKixAKs8+ENN4rEQ0ml0FEqKGD3zodY&#10;x11INGtzLqRM7ZaadCWdTydTRAcc4RpHB4/KogxeN5SAbPBvsOASojdSVDE74njXbFfSkR3gRL14&#10;9fL12Vkf1ELFe+t8mufDZHkI703Vm8f5rR1LG2BSmffwI5s1+LbPSa6kKhRSD+L2ekZlt6Y6bNyt&#10;6DgiCW8Y5ziDf99T9t0XXv4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JTgpE9kAAAALAQAADwAA&#10;AAAAAAABACAAAAAiAAAAZHJzL2Rvd25yZXYueG1sUEsBAhQAFAAAAAgAh07iQGMxciAVAgAACgQA&#10;AA4AAAAAAAAAAQAgAAAAKAEAAGRycy9lMm9Eb2MueG1sUEsFBgAAAAAGAAYAWQEAAK8FAAAAAA==&#10;">
                <v:fill on="f" focussize="0,0"/>
                <v:stroke color="#4A7EBB [3204]" joinstyle="round"/>
                <v:imagedata o:title=""/>
                <o:lock v:ext="edit" aspectratio="f"/>
              </v:line>
            </w:pict>
          </mc:Fallback>
        </mc:AlternateContent>
      </w:r>
      <w:r>
        <w:rPr>
          <w:sz w:val="32"/>
        </w:rPr>
        <mc:AlternateContent>
          <mc:Choice Requires="wps">
            <w:drawing>
              <wp:anchor distT="0" distB="0" distL="114300" distR="114300" simplePos="0" relativeHeight="251666432" behindDoc="0" locked="0" layoutInCell="1" allowOverlap="1">
                <wp:simplePos x="0" y="0"/>
                <wp:positionH relativeFrom="column">
                  <wp:posOffset>375920</wp:posOffset>
                </wp:positionH>
                <wp:positionV relativeFrom="paragraph">
                  <wp:posOffset>596900</wp:posOffset>
                </wp:positionV>
                <wp:extent cx="619125" cy="266700"/>
                <wp:effectExtent l="4445" t="4445" r="5080" b="14605"/>
                <wp:wrapNone/>
                <wp:docPr id="29" name="文本框 29"/>
                <wp:cNvGraphicFramePr/>
                <a:graphic xmlns:a="http://schemas.openxmlformats.org/drawingml/2006/main">
                  <a:graphicData uri="http://schemas.microsoft.com/office/word/2010/wordprocessingShape">
                    <wps:wsp>
                      <wps:cNvSpPr txBox="1"/>
                      <wps:spPr>
                        <a:xfrm>
                          <a:off x="0" y="0"/>
                          <a:ext cx="619125" cy="2667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2.86%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6pt;margin-top:47pt;height:21pt;width:48.75pt;z-index:251666432;mso-width-relative:page;mso-height-relative:page;" fillcolor="#FFFFFF [3201]" filled="t" stroked="t" coordsize="21600,21600" o:gfxdata="UEsDBAoAAAAAAIdO4kAAAAAAAAAAAAAAAAAEAAAAZHJzL1BLAwQUAAAACACHTuJA7lsVCtYAAAAJ&#10;AQAADwAAAGRycy9kb3ducmV2LnhtbE2PwU7DMBBE70j8g7VI3KjdhAaaxqkEEhLiRsmFmxtvk6j2&#10;Oordpvw92xPcdjSj2TfV9uKdOOMUh0AalgsFAqkNdqBOQ/P19vAMIiZD1rhAqOEHI2zr25vKlDbM&#10;9InnXeoEl1AsjYY+pbGUMrY9ehMXYURi7xAmbxLLqZN2MjOXeyczpQrpzUD8oTcjvvbYHncnr+G9&#10;eEnf2NgPm2d5mBvZTgcXtb6/W6oNiISX9BeGKz6jQ81M+3AiG4XTsFpnnNSwfuRJV39VPIHY85EX&#10;CmRdyf8L6l9QSwMEFAAAAAgAh07iQBsgMk9bAgAAuAQAAA4AAABkcnMvZTJvRG9jLnhtbK1UzW4T&#10;MRC+I/EOlu90k9CmNOqmCq2CkCpaqSDOjtebtfAftpPd8gDwBpy4cOe58hx89ibpH4ce2IN3PDP7&#10;zcw3M3t61mlF1sIHaU1JhwcDSoThtpJmWdJPH+ev3lASIjMVU9aIkt6KQM+mL1+ctm4iRraxqhKe&#10;AMSESetK2sToJkUReCM0CwfWCQNjbb1mEVe/LCrPWqBrVYwGg3HRWl85b7kIAdqL3ki3iP45gLau&#10;JRcXlq+0MLFH9UKxiJJCI12g05xtXQser+o6iEhUSVFpzCeCQF6ks5iessnSM9dIvk2BPSeFRzVp&#10;Jg2C7qEuWGRk5eUTKC25t8HW8YBbXfSFZEZQxXDwiJubhjmRawHVwe1JD/8Pln9YX3siq5KOTigx&#10;TKPjm58/Nr/+bH5/J9CBoNaFCfxuHDxj99Z2GJudPkCZ6u5qr9MbFRHYQe/tnl7RRcKhHA9PhqMj&#10;SjhMo/H4eJDpL+4+dj7Ed8JqkoSSenQvk8rWlyEiEbjuXFKsYJWs5lKpfPHLxbnyZM3Q6Xl+Uo74&#10;5IGbMqRFJq+PBhn5gS1h7yEWivEvTxGApwxgEyd97UmK3aLbErWw1S148rYfteD4XAL3koV4zTxm&#10;C9Rg++IVjlpZJGO3EiWN9d/+pU/+aDmslLSY1ZKGryvmBSXqvcEwnAwPD9Nw58vh0fEIF3/fsrhv&#10;MSt9bkHSEHvueBaTf1Q7sfZWf8aSzlJUmJjhiF3SuBPPY79BWHIuZrPshHF2LF6aG8cTdGqJsbNV&#10;tLXMrUs09dxs2cNA5/Zsly9tzP179rr74Uz/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O5bFQrW&#10;AAAACQEAAA8AAAAAAAAAAQAgAAAAIgAAAGRycy9kb3ducmV2LnhtbFBLAQIUABQAAAAIAIdO4kAb&#10;IDJPWwIAALgEAAAOAAAAAAAAAAEAIAAAACUBAABkcnMvZTJvRG9jLnhtbFBLBQYAAAAABgAGAFkB&#10;AADyBQAAAAA=&#10;">
                <v:fill on="t" focussize="0,0"/>
                <v:stroke weight="0.5pt" color="#000000 [3204]" joinstyle="round"/>
                <v:imagedata o:title=""/>
                <o:lock v:ext="edit" aspectratio="f"/>
                <v:textbox>
                  <w:txbxContent>
                    <w:p>
                      <w:pPr>
                        <w:rPr>
                          <w:rFonts w:hint="default" w:eastAsia="宋体"/>
                          <w:lang w:val="en-US" w:eastAsia="zh-CN"/>
                        </w:rPr>
                      </w:pPr>
                      <w:r>
                        <w:rPr>
                          <w:rFonts w:hint="eastAsia"/>
                          <w:lang w:val="en-US" w:eastAsia="zh-CN"/>
                        </w:rPr>
                        <w:t>2.86%</w:t>
                      </w:r>
                    </w:p>
                  </w:txbxContent>
                </v:textbox>
              </v:shape>
            </w:pict>
          </mc:Fallback>
        </mc:AlternateContent>
      </w:r>
      <w:r>
        <w:rPr>
          <w:sz w:val="32"/>
        </w:rPr>
        <mc:AlternateContent>
          <mc:Choice Requires="wps">
            <w:drawing>
              <wp:anchor distT="0" distB="0" distL="114300" distR="114300" simplePos="0" relativeHeight="251667456" behindDoc="0" locked="0" layoutInCell="1" allowOverlap="1">
                <wp:simplePos x="0" y="0"/>
                <wp:positionH relativeFrom="column">
                  <wp:posOffset>3738245</wp:posOffset>
                </wp:positionH>
                <wp:positionV relativeFrom="paragraph">
                  <wp:posOffset>1882775</wp:posOffset>
                </wp:positionV>
                <wp:extent cx="619125" cy="266700"/>
                <wp:effectExtent l="4445" t="4445" r="5080" b="14605"/>
                <wp:wrapNone/>
                <wp:docPr id="9" name="文本框 9"/>
                <wp:cNvGraphicFramePr/>
                <a:graphic xmlns:a="http://schemas.openxmlformats.org/drawingml/2006/main">
                  <a:graphicData uri="http://schemas.microsoft.com/office/word/2010/wordprocessingShape">
                    <wps:wsp>
                      <wps:cNvSpPr txBox="1"/>
                      <wps:spPr>
                        <a:xfrm>
                          <a:off x="0" y="0"/>
                          <a:ext cx="619125" cy="26670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lang w:val="en-US" w:eastAsia="zh-CN"/>
                              </w:rPr>
                            </w:pPr>
                            <w:r>
                              <w:rPr>
                                <w:rFonts w:hint="eastAsia"/>
                                <w:lang w:val="en-US" w:eastAsia="zh-CN"/>
                              </w:rPr>
                              <w:t>97.14%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4.35pt;margin-top:148.25pt;height:21pt;width:48.75pt;z-index:251667456;mso-width-relative:page;mso-height-relative:page;" fillcolor="#FFFFFF [3201]" filled="t" stroked="t" coordsize="21600,21600" o:gfxdata="UEsDBAoAAAAAAIdO4kAAAAAAAAAAAAAAAAAEAAAAZHJzL1BLAwQUAAAACACHTuJAsNDICtgAAAAL&#10;AQAADwAAAGRycy9kb3ducmV2LnhtbE2PQUvEMBCF74L/IYzgzU23pTHWpgsKgnhz7cVbtplti8mk&#10;JNnt+u+NJz0O7+O9b9rdxVl2xhBnTwq2mwIY0uDNTKOC/uPlTgKLSZPR1hMq+MYIu+76qtWN8Su9&#10;43mfRpZLKDZawZTS0nAehwmdjhu/IOXs6IPTKZ9h5CboNZc7y8uiENzpmfLCpBd8nnD42p+cglfx&#10;lD6xN2+mKiu/9nwIRxuVur3ZFo/AEl7SHwy/+lkduux08CcykVkFtZT3GVVQPogaWCaEFCWwg4Kq&#10;kjXwruX/f+h+AFBLAwQUAAAACACHTuJAuVUFNloCAAC2BAAADgAAAGRycy9lMm9Eb2MueG1srVTN&#10;jtMwEL4j8Q6W7zRN2XZptemqbFWEtGJXKoiz6ziNhe0xttukPAC8AScu3HmuPgdjp+3+cdgDOTgz&#10;nsk3M9/M5OKy1YpshfMSTEHzXp8SYTiU0qwL+unj4tUbSnxgpmQKjCjoTnh6OX354qKxEzGAGlQp&#10;HEEQ4yeNLWgdgp1kmee10Mz3wAqDxgqcZgFVt85KxxpE1yob9PujrAFXWgdceI+3885ID4juOYBQ&#10;VZKLOfCNFiZ0qE4oFrAkX0vr6TRlW1WCh5uq8iIQVVCsNKQTg6C8imc2vWCTtWO2lvyQAntOCo9q&#10;0kwaDHqCmrPAyMbJJ1BacgceqtDjoLOukMQIVpH3H3GzrJkVqRak2tsT6f7/wfIP21tHZFnQMSWG&#10;aWz4/ueP/a8/+9/fyTjS01g/Qa+lRb/QvoUWh+Z47/EyVt1WTsc31kPQjuTuTuSKNhCOl6N8nA+G&#10;lHA0DUaj834iP7v72Dof3gnQJAoFddi7RCnbXvuAiaDr0SXG8qBkuZBKJcWtV1fKkS3DPi/SE3PE&#10;Tx64KUMazOT1sJ+QH9gi9glipRj/8hQB8ZRB2MhJV3uUQrtqD0StoNwhTw66QfOWLyTiXjMfbpnD&#10;yUJqcPfCDR6VAkwGDhIlNbhv/7qP/thwtFLS4KQW1H/dMCcoUe8NjsI4PzuLo52Us+H5ABV337K6&#10;bzEbfQVIUo5bbnkSo39QR7FyoD/jis5iVDQxwzF2QcNRvArd/uCKczGbJSccZsvCtVlaHqFjSwzM&#10;NgEqmVoXaeq4ObCH45zac1i9uC/39eR197uZ/g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Cw0MgK&#10;2AAAAAsBAAAPAAAAAAAAAAEAIAAAACIAAABkcnMvZG93bnJldi54bWxQSwECFAAUAAAACACHTuJA&#10;uVUFNloCAAC2BAAADgAAAAAAAAABACAAAAAnAQAAZHJzL2Uyb0RvYy54bWxQSwUGAAAAAAYABgBZ&#10;AQAA8wUAAAAA&#10;">
                <v:fill on="t" focussize="0,0"/>
                <v:stroke weight="0.5pt" color="#000000 [3204]" joinstyle="round"/>
                <v:imagedata o:title=""/>
                <o:lock v:ext="edit" aspectratio="f"/>
                <v:textbox>
                  <w:txbxContent>
                    <w:p>
                      <w:pPr>
                        <w:rPr>
                          <w:rFonts w:hint="default" w:eastAsia="宋体"/>
                          <w:lang w:val="en-US" w:eastAsia="zh-CN"/>
                        </w:rPr>
                      </w:pPr>
                      <w:r>
                        <w:rPr>
                          <w:rFonts w:hint="eastAsia"/>
                          <w:lang w:val="en-US" w:eastAsia="zh-CN"/>
                        </w:rPr>
                        <w:t>97.14%</w:t>
                      </w:r>
                    </w:p>
                  </w:txbxContent>
                </v:textbox>
              </v:shape>
            </w:pict>
          </mc:Fallback>
        </mc:AlternateContent>
      </w:r>
      <w:r>
        <w:rPr>
          <w:sz w:val="32"/>
        </w:rPr>
        <mc:AlternateContent>
          <mc:Choice Requires="wps">
            <w:drawing>
              <wp:anchor distT="0" distB="0" distL="114300" distR="114300" simplePos="0" relativeHeight="251669504" behindDoc="0" locked="0" layoutInCell="1" allowOverlap="1">
                <wp:simplePos x="0" y="0"/>
                <wp:positionH relativeFrom="column">
                  <wp:posOffset>2954655</wp:posOffset>
                </wp:positionH>
                <wp:positionV relativeFrom="paragraph">
                  <wp:posOffset>2047240</wp:posOffset>
                </wp:positionV>
                <wp:extent cx="821055" cy="13970"/>
                <wp:effectExtent l="0" t="4445" r="17145" b="10160"/>
                <wp:wrapNone/>
                <wp:docPr id="10" name="直接连接符 10"/>
                <wp:cNvGraphicFramePr/>
                <a:graphic xmlns:a="http://schemas.openxmlformats.org/drawingml/2006/main">
                  <a:graphicData uri="http://schemas.microsoft.com/office/word/2010/wordprocessingShape">
                    <wps:wsp>
                      <wps:cNvCnPr/>
                      <wps:spPr>
                        <a:xfrm flipH="1">
                          <a:off x="0" y="0"/>
                          <a:ext cx="821055" cy="1397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x;margin-left:232.65pt;margin-top:161.2pt;height:1.1pt;width:64.65pt;z-index:251669504;mso-width-relative:page;mso-height-relative:page;" filled="f" stroked="t" coordsize="21600,21600" o:gfxdata="UEsDBAoAAAAAAIdO4kAAAAAAAAAAAAAAAAAEAAAAZHJzL1BLAwQUAAAACACHTuJA9dPoHNkAAAAL&#10;AQAADwAAAGRycy9kb3ducmV2LnhtbE2PTU+DQBCG7yb+h82YeLNLKSWKLA0x4aImRvTS28KOgGVn&#10;Cbv9+vdOT/Y2H0/eeSbfnOwoDjj7wZGC5SICgdQ6M1Cn4PurengE4YMmo0dHqOCMHjbF7U2uM+OO&#10;9ImHOnSCQ8hnWkEfwpRJ6dserfYLNyHx7sfNVgdu506aWR853I4yjqJUWj0QX+j1hC89trt6bxVU&#10;zdC/la7q3s/2F+tduS0/XrdK3d8to2cQAU/hH4aLPqtDwU6N25PxYlSQpOsVowpWcZyAYGL9lKQg&#10;msuEC1nk8vqH4g9QSwMEFAAAAAgAh07iQEuK37wBAgAA4gMAAA4AAABkcnMvZTJvRG9jLnhtbK1T&#10;y24TMRTdI/EPlvdkJoHQZpRJRRsKCx6RgA9wPPaMJb/k62aSn+AHkNjBiiX7/k3LZ3DtGQKUTRds&#10;PPZ9HN9zfGZ5tjea7EQA5WxNp5OSEmG5a5Rta/rh/eWjU0ogMtsw7ayo6UEAPVs9fLDsfSVmrnO6&#10;EYEgiIWq9zXtYvRVUQDvhGEwcV5YTEoXDIt4DG3RBNYjutHFrCyfFr0LjQ+OCwCMrockHRHDfQCd&#10;lIqLteNXRtg4oAahWURK0CkPdJWnlVLw+FZKEJHomiLTmFe8BPfbtBarJavawHyn+DgCu88IdzgZ&#10;pixeeoRas8jIVVD/QBnFgwMn44Q7UwxEsiLIYlre0eZdx7zIXFBq8EfR4f/B8je7TSCqQSegJJYZ&#10;fPHbT99vPn75cf0Z19tvXwlmUKbeQ4XVF3YTxhP4TUic9zIYIrXyLxElq4C8yD6LfDiKLPaRcAye&#10;zqblfE4Jx9T08eIkgxcDSkLzAeIL4QxJm5pqZZMErGK7VxDxZiz9VZLC1l0qrfMzakv6mi7ms4TO&#10;0JoSLYFb45Ee2JYSplv0PI8hI4LTqkndCQdCu73QgewYOuXJs5Pn5+dDUccaMUQX87IcHQMsvnbN&#10;EEY6YxxHG2HymH/hp5nXDLqhJ6eSqtiiLX6SuoOeabd1zSHLnOP49LlwtGny1p/n3P3711z9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PXT6BzZAAAACwEAAA8AAAAAAAAAAQAgAAAAIgAAAGRycy9k&#10;b3ducmV2LnhtbFBLAQIUABQAAAAIAIdO4kBLit+8AQIAAOIDAAAOAAAAAAAAAAEAIAAAACgBAABk&#10;cnMvZTJvRG9jLnhtbFBLBQYAAAAABgAGAFkBAACbBQAAAAA=&#10;">
                <v:fill on="f" focussize="0,0"/>
                <v:stroke color="#4A7EBB [3204]" joinstyle="round"/>
                <v:imagedata o:title=""/>
                <o:lock v:ext="edit" aspectratio="f"/>
              </v:line>
            </w:pict>
          </mc:Fallback>
        </mc:AlternateContent>
      </w:r>
      <w:r>
        <w:rPr>
          <w:rFonts w:hint="eastAsia" w:ascii="仿宋_GB2312" w:eastAsia="仿宋_GB2312" w:cs="仿宋_GB2312"/>
          <w:kern w:val="0"/>
          <w:sz w:val="32"/>
          <w:szCs w:val="32"/>
          <w:lang w:val="en-US" w:eastAsia="zh-CN"/>
        </w:rPr>
        <w:drawing>
          <wp:inline distT="0" distB="0" distL="114300" distR="114300">
            <wp:extent cx="5233670" cy="2863850"/>
            <wp:effectExtent l="4445" t="4445" r="19685" b="8255"/>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pPr>
        <w:spacing w:line="600" w:lineRule="exact"/>
        <w:ind w:firstLine="640"/>
        <w:rPr>
          <w:rFonts w:ascii="仿宋_GB2312" w:eastAsia="仿宋_GB2312"/>
          <w:b/>
          <w:color w:val="auto"/>
          <w:sz w:val="32"/>
          <w:szCs w:val="32"/>
          <w:highlight w:val="none"/>
        </w:rPr>
      </w:pPr>
    </w:p>
    <w:p>
      <w:pPr>
        <w:spacing w:line="600" w:lineRule="exact"/>
        <w:ind w:firstLine="640"/>
        <w:rPr>
          <w:rFonts w:ascii="仿宋_GB2312" w:eastAsia="仿宋_GB2312"/>
          <w:color w:val="auto"/>
          <w:sz w:val="32"/>
          <w:szCs w:val="32"/>
          <w:highlight w:val="none"/>
        </w:rPr>
      </w:pPr>
      <w:r>
        <w:rPr>
          <w:rFonts w:ascii="仿宋_GB2312" w:eastAsia="仿宋_GB2312"/>
          <w:b/>
          <w:color w:val="auto"/>
          <w:sz w:val="32"/>
          <w:szCs w:val="32"/>
          <w:highlight w:val="none"/>
        </w:rPr>
        <w:t>1.</w:t>
      </w:r>
      <w:r>
        <w:rPr>
          <w:rFonts w:hint="eastAsia" w:ascii="仿宋_GB2312" w:eastAsia="仿宋_GB2312"/>
          <w:b/>
          <w:color w:val="auto"/>
          <w:sz w:val="32"/>
          <w:szCs w:val="32"/>
          <w:highlight w:val="none"/>
        </w:rPr>
        <w:t>因公出国（境）经费支出</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w:t>
      </w:r>
      <w:r>
        <w:rPr>
          <w:rStyle w:val="16"/>
          <w:rFonts w:hint="eastAsia" w:ascii="仿宋" w:hAnsi="仿宋" w:eastAsia="仿宋"/>
          <w:b w:val="0"/>
          <w:bCs/>
          <w:color w:val="auto"/>
          <w:sz w:val="32"/>
          <w:szCs w:val="32"/>
          <w:highlight w:val="none"/>
        </w:rPr>
        <w:t>完成预算</w:t>
      </w:r>
      <w:r>
        <w:rPr>
          <w:rStyle w:val="16"/>
          <w:rFonts w:hint="eastAsia" w:ascii="仿宋" w:hAnsi="仿宋" w:eastAsia="仿宋"/>
          <w:b w:val="0"/>
          <w:bCs/>
          <w:color w:val="auto"/>
          <w:sz w:val="32"/>
          <w:szCs w:val="32"/>
          <w:highlight w:val="none"/>
          <w:lang w:val="en-US" w:eastAsia="zh-CN"/>
        </w:rPr>
        <w:t>0</w:t>
      </w:r>
      <w:r>
        <w:rPr>
          <w:rStyle w:val="16"/>
          <w:rFonts w:ascii="仿宋" w:hAnsi="仿宋" w:eastAsia="仿宋"/>
          <w:b w:val="0"/>
          <w:bCs/>
          <w:color w:val="auto"/>
          <w:sz w:val="32"/>
          <w:szCs w:val="32"/>
          <w:highlight w:val="none"/>
        </w:rPr>
        <w:t>%</w:t>
      </w:r>
      <w:r>
        <w:rPr>
          <w:rStyle w:val="16"/>
          <w:rFonts w:hint="eastAsia" w:ascii="仿宋" w:hAnsi="仿宋" w:eastAsia="仿宋"/>
          <w:b w:val="0"/>
          <w:bCs/>
          <w:color w:val="auto"/>
          <w:sz w:val="32"/>
          <w:szCs w:val="32"/>
          <w:highlight w:val="none"/>
        </w:rPr>
        <w:t>。</w:t>
      </w:r>
      <w:r>
        <w:rPr>
          <w:rFonts w:hint="eastAsia" w:ascii="仿宋_GB2312" w:eastAsia="仿宋_GB2312"/>
          <w:color w:val="auto"/>
          <w:sz w:val="32"/>
          <w:szCs w:val="32"/>
          <w:highlight w:val="none"/>
        </w:rPr>
        <w:t>全年安排因公出国（境）团组</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次，出国（境）</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人。因公出国（境）支出决算比</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21</w:t>
      </w:r>
      <w:r>
        <w:rPr>
          <w:rFonts w:hint="eastAsia" w:ascii="仿宋_GB2312" w:eastAsia="仿宋_GB2312"/>
          <w:color w:val="auto"/>
          <w:sz w:val="32"/>
          <w:szCs w:val="32"/>
          <w:highlight w:val="none"/>
        </w:rPr>
        <w:t>年增加</w:t>
      </w:r>
      <w:r>
        <w:rPr>
          <w:rFonts w:hint="eastAsia" w:ascii="仿宋_GB2312" w:eastAsia="仿宋_GB2312"/>
          <w:color w:val="auto"/>
          <w:sz w:val="32"/>
          <w:szCs w:val="32"/>
          <w:highlight w:val="none"/>
          <w:lang w:val="en-US" w:eastAsia="zh-CN"/>
        </w:rPr>
        <w:t>00</w:t>
      </w:r>
      <w:r>
        <w:rPr>
          <w:rFonts w:hint="eastAsia" w:ascii="仿宋_GB2312" w:eastAsia="仿宋_GB2312"/>
          <w:color w:val="auto"/>
          <w:sz w:val="32"/>
          <w:szCs w:val="32"/>
          <w:highlight w:val="none"/>
        </w:rPr>
        <w:t>万元，增长</w:t>
      </w:r>
      <w:r>
        <w:rPr>
          <w:rFonts w:hint="eastAsia" w:ascii="仿宋_GB2312" w:eastAsia="仿宋_GB2312"/>
          <w:color w:val="auto"/>
          <w:sz w:val="32"/>
          <w:szCs w:val="32"/>
          <w:highlight w:val="none"/>
          <w:lang w:val="en-US" w:eastAsia="zh-CN"/>
        </w:rPr>
        <w:t>0</w:t>
      </w:r>
      <w:r>
        <w:rPr>
          <w:rFonts w:ascii="仿宋_GB2312" w:eastAsia="仿宋_GB2312"/>
          <w:color w:val="auto"/>
          <w:sz w:val="32"/>
          <w:szCs w:val="32"/>
          <w:highlight w:val="none"/>
        </w:rPr>
        <w:t>%</w:t>
      </w:r>
      <w:r>
        <w:rPr>
          <w:rFonts w:hint="eastAsia" w:ascii="仿宋_GB2312" w:eastAsia="仿宋_GB2312"/>
          <w:color w:val="auto"/>
          <w:sz w:val="32"/>
          <w:szCs w:val="32"/>
          <w:highlight w:val="none"/>
        </w:rPr>
        <w:t>。</w:t>
      </w:r>
    </w:p>
    <w:p>
      <w:pPr>
        <w:spacing w:line="600" w:lineRule="exact"/>
        <w:ind w:firstLine="640"/>
        <w:rPr>
          <w:rFonts w:ascii="仿宋_GB2312" w:eastAsia="仿宋_GB2312"/>
          <w:b/>
          <w:color w:val="auto"/>
          <w:sz w:val="32"/>
          <w:szCs w:val="32"/>
          <w:highlight w:val="none"/>
        </w:rPr>
      </w:pPr>
      <w:r>
        <w:rPr>
          <w:rFonts w:ascii="仿宋_GB2312" w:eastAsia="仿宋_GB2312"/>
          <w:b/>
          <w:color w:val="auto"/>
          <w:sz w:val="32"/>
          <w:szCs w:val="32"/>
          <w:highlight w:val="none"/>
        </w:rPr>
        <w:t>2.</w:t>
      </w:r>
      <w:r>
        <w:rPr>
          <w:rFonts w:hint="eastAsia" w:ascii="仿宋_GB2312" w:eastAsia="仿宋_GB2312"/>
          <w:b/>
          <w:color w:val="auto"/>
          <w:sz w:val="32"/>
          <w:szCs w:val="32"/>
          <w:highlight w:val="none"/>
        </w:rPr>
        <w:t>公务用车购置及运行维护费支出</w:t>
      </w:r>
      <w:r>
        <w:rPr>
          <w:rFonts w:hint="eastAsia" w:ascii="仿宋_GB2312" w:eastAsia="仿宋_GB2312"/>
          <w:color w:val="auto"/>
          <w:sz w:val="32"/>
          <w:szCs w:val="32"/>
          <w:highlight w:val="none"/>
          <w:lang w:val="en-US" w:eastAsia="zh-CN"/>
        </w:rPr>
        <w:t>15.60</w:t>
      </w:r>
      <w:r>
        <w:rPr>
          <w:rFonts w:hint="eastAsia" w:ascii="仿宋_GB2312" w:eastAsia="仿宋_GB2312"/>
          <w:color w:val="auto"/>
          <w:sz w:val="32"/>
          <w:szCs w:val="32"/>
          <w:highlight w:val="none"/>
        </w:rPr>
        <w:t>万元,</w:t>
      </w:r>
      <w:r>
        <w:rPr>
          <w:rStyle w:val="16"/>
          <w:rFonts w:hint="eastAsia" w:ascii="仿宋" w:hAnsi="仿宋" w:eastAsia="仿宋"/>
          <w:b w:val="0"/>
          <w:bCs/>
          <w:color w:val="auto"/>
          <w:sz w:val="32"/>
          <w:szCs w:val="32"/>
          <w:highlight w:val="none"/>
        </w:rPr>
        <w:t>完成预算</w:t>
      </w:r>
      <w:r>
        <w:rPr>
          <w:rStyle w:val="16"/>
          <w:rFonts w:hint="eastAsia" w:ascii="仿宋" w:hAnsi="仿宋" w:eastAsia="仿宋"/>
          <w:b w:val="0"/>
          <w:bCs/>
          <w:color w:val="auto"/>
          <w:sz w:val="32"/>
          <w:szCs w:val="32"/>
          <w:highlight w:val="none"/>
          <w:lang w:val="en-US" w:eastAsia="zh-CN"/>
        </w:rPr>
        <w:t>100</w:t>
      </w:r>
      <w:r>
        <w:rPr>
          <w:rStyle w:val="16"/>
          <w:rFonts w:ascii="仿宋" w:hAnsi="仿宋" w:eastAsia="仿宋"/>
          <w:b w:val="0"/>
          <w:bCs/>
          <w:color w:val="auto"/>
          <w:sz w:val="32"/>
          <w:szCs w:val="32"/>
          <w:highlight w:val="none"/>
        </w:rPr>
        <w:t>%</w:t>
      </w:r>
      <w:r>
        <w:rPr>
          <w:rStyle w:val="16"/>
          <w:rFonts w:hint="eastAsia" w:ascii="仿宋" w:hAnsi="仿宋" w:eastAsia="仿宋"/>
          <w:b w:val="0"/>
          <w:bCs/>
          <w:color w:val="auto"/>
          <w:sz w:val="32"/>
          <w:szCs w:val="32"/>
          <w:highlight w:val="none"/>
        </w:rPr>
        <w:t>。</w:t>
      </w:r>
      <w:r>
        <w:rPr>
          <w:rFonts w:hint="eastAsia" w:ascii="仿宋_GB2312" w:eastAsia="仿宋_GB2312"/>
          <w:color w:val="auto"/>
          <w:sz w:val="32"/>
          <w:szCs w:val="32"/>
          <w:highlight w:val="none"/>
        </w:rPr>
        <w:t>公务用车购置及运行维护费支出决算比</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21</w:t>
      </w:r>
      <w:r>
        <w:rPr>
          <w:rFonts w:hint="eastAsia" w:ascii="仿宋_GB2312" w:eastAsia="仿宋_GB2312"/>
          <w:color w:val="auto"/>
          <w:sz w:val="32"/>
          <w:szCs w:val="32"/>
          <w:highlight w:val="none"/>
        </w:rPr>
        <w:t>年增加</w:t>
      </w:r>
      <w:r>
        <w:rPr>
          <w:rFonts w:hint="eastAsia" w:ascii="仿宋_GB2312" w:eastAsia="仿宋_GB2312"/>
          <w:color w:val="auto"/>
          <w:sz w:val="32"/>
          <w:szCs w:val="32"/>
          <w:highlight w:val="none"/>
          <w:lang w:val="en-US" w:eastAsia="zh-CN"/>
        </w:rPr>
        <w:t>3.15</w:t>
      </w:r>
      <w:r>
        <w:rPr>
          <w:rFonts w:hint="eastAsia" w:ascii="仿宋_GB2312" w:eastAsia="仿宋_GB2312"/>
          <w:color w:val="auto"/>
          <w:sz w:val="32"/>
          <w:szCs w:val="32"/>
          <w:highlight w:val="none"/>
        </w:rPr>
        <w:t>万元，增长</w:t>
      </w:r>
      <w:r>
        <w:rPr>
          <w:rFonts w:hint="eastAsia" w:ascii="仿宋_GB2312" w:eastAsia="仿宋_GB2312"/>
          <w:color w:val="auto"/>
          <w:sz w:val="32"/>
          <w:szCs w:val="32"/>
          <w:highlight w:val="none"/>
          <w:lang w:val="en-US" w:eastAsia="zh-CN"/>
        </w:rPr>
        <w:t>25.30</w:t>
      </w:r>
      <w:r>
        <w:rPr>
          <w:rFonts w:ascii="仿宋_GB2312" w:eastAsia="仿宋_GB2312"/>
          <w:color w:val="auto"/>
          <w:sz w:val="32"/>
          <w:szCs w:val="32"/>
          <w:highlight w:val="none"/>
        </w:rPr>
        <w:t>%</w:t>
      </w:r>
      <w:r>
        <w:rPr>
          <w:rFonts w:hint="eastAsia" w:ascii="仿宋_GB2312" w:eastAsia="仿宋_GB2312"/>
          <w:color w:val="auto"/>
          <w:sz w:val="32"/>
          <w:szCs w:val="32"/>
          <w:highlight w:val="none"/>
        </w:rPr>
        <w:t>。主要原因是</w:t>
      </w:r>
      <w:r>
        <w:rPr>
          <w:rFonts w:hint="eastAsia" w:ascii="仿宋_GB2312" w:eastAsia="仿宋_GB2312"/>
          <w:color w:val="auto"/>
          <w:sz w:val="32"/>
          <w:szCs w:val="32"/>
          <w:highlight w:val="none"/>
          <w:lang w:eastAsia="zh-CN"/>
        </w:rPr>
        <w:t>疫情期间救护车接送病人次数增加</w:t>
      </w:r>
      <w:r>
        <w:rPr>
          <w:rFonts w:hint="eastAsia" w:ascii="仿宋_GB2312" w:eastAsia="仿宋_GB2312"/>
          <w:color w:val="auto"/>
          <w:sz w:val="32"/>
          <w:szCs w:val="32"/>
          <w:highlight w:val="none"/>
        </w:rPr>
        <w:t>。</w:t>
      </w:r>
    </w:p>
    <w:p>
      <w:pPr>
        <w:spacing w:line="600" w:lineRule="exact"/>
        <w:ind w:firstLine="640" w:firstLineChars="200"/>
        <w:rPr>
          <w:rFonts w:ascii="仿宋_GB2312" w:eastAsia="仿宋_GB2312"/>
          <w:b/>
          <w:color w:val="auto"/>
          <w:sz w:val="32"/>
          <w:szCs w:val="32"/>
          <w:highlight w:val="none"/>
        </w:rPr>
      </w:pPr>
      <w:r>
        <w:rPr>
          <w:rFonts w:hint="eastAsia" w:ascii="仿宋_GB2312" w:eastAsia="仿宋_GB2312"/>
          <w:color w:val="auto"/>
          <w:sz w:val="32"/>
          <w:szCs w:val="32"/>
          <w:highlight w:val="none"/>
        </w:rPr>
        <w:t>其中：</w:t>
      </w:r>
      <w:r>
        <w:rPr>
          <w:rFonts w:hint="eastAsia" w:ascii="仿宋_GB2312" w:eastAsia="仿宋_GB2312"/>
          <w:b/>
          <w:color w:val="auto"/>
          <w:sz w:val="32"/>
          <w:szCs w:val="32"/>
          <w:highlight w:val="none"/>
        </w:rPr>
        <w:t>公务用车购置支出</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万元。截至</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w:t>
      </w:r>
      <w:r>
        <w:rPr>
          <w:rFonts w:ascii="仿宋_GB2312" w:eastAsia="仿宋_GB2312"/>
          <w:color w:val="auto"/>
          <w:sz w:val="32"/>
          <w:szCs w:val="32"/>
          <w:highlight w:val="none"/>
        </w:rPr>
        <w:t>12</w:t>
      </w:r>
      <w:r>
        <w:rPr>
          <w:rFonts w:hint="eastAsia" w:ascii="仿宋_GB2312" w:eastAsia="仿宋_GB2312"/>
          <w:color w:val="auto"/>
          <w:sz w:val="32"/>
          <w:szCs w:val="32"/>
          <w:highlight w:val="none"/>
        </w:rPr>
        <w:t>月底，单位共有公务用车</w:t>
      </w:r>
      <w:r>
        <w:rPr>
          <w:rFonts w:hint="eastAsia" w:ascii="仿宋_GB2312" w:eastAsia="仿宋_GB2312"/>
          <w:color w:val="auto"/>
          <w:sz w:val="32"/>
          <w:szCs w:val="32"/>
          <w:highlight w:val="none"/>
          <w:lang w:val="en-US" w:eastAsia="zh-CN"/>
        </w:rPr>
        <w:t>4</w:t>
      </w:r>
      <w:r>
        <w:rPr>
          <w:rFonts w:hint="eastAsia" w:ascii="仿宋_GB2312" w:eastAsia="仿宋_GB2312"/>
          <w:color w:val="auto"/>
          <w:sz w:val="32"/>
          <w:szCs w:val="32"/>
          <w:highlight w:val="none"/>
        </w:rPr>
        <w:t>辆，其中：轿车</w:t>
      </w:r>
      <w:r>
        <w:rPr>
          <w:rFonts w:hint="eastAsia" w:ascii="仿宋_GB2312" w:eastAsia="仿宋_GB2312"/>
          <w:color w:val="auto"/>
          <w:sz w:val="32"/>
          <w:szCs w:val="32"/>
          <w:highlight w:val="none"/>
          <w:lang w:val="en-US" w:eastAsia="zh-CN"/>
        </w:rPr>
        <w:t>1</w:t>
      </w:r>
      <w:r>
        <w:rPr>
          <w:rFonts w:hint="eastAsia" w:ascii="仿宋_GB2312" w:eastAsia="仿宋_GB2312"/>
          <w:color w:val="auto"/>
          <w:sz w:val="32"/>
          <w:szCs w:val="32"/>
          <w:highlight w:val="none"/>
        </w:rPr>
        <w:t>辆、</w:t>
      </w:r>
      <w:r>
        <w:rPr>
          <w:rFonts w:hint="eastAsia" w:ascii="仿宋_GB2312" w:eastAsia="仿宋_GB2312"/>
          <w:color w:val="auto"/>
          <w:sz w:val="32"/>
          <w:szCs w:val="32"/>
          <w:highlight w:val="none"/>
          <w:lang w:eastAsia="zh-CN"/>
        </w:rPr>
        <w:t>救护车</w:t>
      </w:r>
      <w:r>
        <w:rPr>
          <w:rFonts w:hint="eastAsia" w:ascii="仿宋_GB2312" w:eastAsia="仿宋_GB2312"/>
          <w:color w:val="auto"/>
          <w:sz w:val="32"/>
          <w:szCs w:val="32"/>
          <w:highlight w:val="none"/>
          <w:lang w:val="en-US" w:eastAsia="zh-CN"/>
        </w:rPr>
        <w:t>3辆</w:t>
      </w:r>
      <w:r>
        <w:rPr>
          <w:rFonts w:hint="eastAsia" w:ascii="仿宋_GB2312" w:eastAsia="仿宋_GB2312"/>
          <w:color w:val="auto"/>
          <w:sz w:val="32"/>
          <w:szCs w:val="32"/>
          <w:highlight w:val="none"/>
        </w:rPr>
        <w:t>。</w:t>
      </w:r>
    </w:p>
    <w:p>
      <w:pPr>
        <w:spacing w:line="600" w:lineRule="exact"/>
        <w:ind w:firstLine="640"/>
        <w:rPr>
          <w:rFonts w:ascii="仿宋_GB2312" w:eastAsia="仿宋_GB2312"/>
          <w:color w:val="auto"/>
          <w:sz w:val="32"/>
          <w:szCs w:val="32"/>
          <w:highlight w:val="none"/>
        </w:rPr>
      </w:pPr>
      <w:r>
        <w:rPr>
          <w:rFonts w:hint="eastAsia" w:ascii="仿宋_GB2312" w:eastAsia="仿宋_GB2312"/>
          <w:b/>
          <w:color w:val="auto"/>
          <w:sz w:val="32"/>
          <w:szCs w:val="32"/>
          <w:highlight w:val="none"/>
        </w:rPr>
        <w:t>公务用车运行维护费支出</w:t>
      </w:r>
      <w:r>
        <w:rPr>
          <w:rFonts w:hint="eastAsia" w:ascii="仿宋_GB2312" w:eastAsia="仿宋_GB2312"/>
          <w:color w:val="auto"/>
          <w:sz w:val="32"/>
          <w:szCs w:val="32"/>
          <w:highlight w:val="none"/>
          <w:lang w:val="en-US" w:eastAsia="zh-CN"/>
        </w:rPr>
        <w:t>15.60</w:t>
      </w:r>
      <w:r>
        <w:rPr>
          <w:rFonts w:hint="eastAsia" w:ascii="仿宋_GB2312" w:eastAsia="仿宋_GB2312"/>
          <w:color w:val="auto"/>
          <w:sz w:val="32"/>
          <w:szCs w:val="32"/>
          <w:highlight w:val="none"/>
        </w:rPr>
        <w:t>万元。主要用于</w:t>
      </w:r>
      <w:r>
        <w:rPr>
          <w:rFonts w:hint="eastAsia" w:ascii="仿宋_GB2312" w:eastAsia="仿宋_GB2312"/>
          <w:color w:val="auto"/>
          <w:sz w:val="32"/>
          <w:szCs w:val="32"/>
          <w:highlight w:val="none"/>
          <w:lang w:eastAsia="zh-CN"/>
        </w:rPr>
        <w:t>公务外出、救护车病人接送及转运</w:t>
      </w:r>
      <w:r>
        <w:rPr>
          <w:rFonts w:hint="eastAsia" w:ascii="仿宋_GB2312" w:eastAsia="仿宋_GB2312"/>
          <w:color w:val="auto"/>
          <w:sz w:val="32"/>
          <w:szCs w:val="32"/>
          <w:highlight w:val="none"/>
        </w:rPr>
        <w:t>等所需的公务用车燃料费、维修费、过路过桥费、保险费等支出。</w:t>
      </w:r>
    </w:p>
    <w:p>
      <w:pPr>
        <w:spacing w:line="600" w:lineRule="exact"/>
        <w:ind w:firstLine="640"/>
        <w:rPr>
          <w:rFonts w:ascii="仿宋_GB2312" w:eastAsia="仿宋_GB2312"/>
          <w:color w:val="auto"/>
          <w:sz w:val="32"/>
          <w:szCs w:val="32"/>
          <w:highlight w:val="none"/>
        </w:rPr>
      </w:pPr>
      <w:r>
        <w:rPr>
          <w:rFonts w:ascii="仿宋_GB2312" w:eastAsia="仿宋_GB2312"/>
          <w:b/>
          <w:color w:val="auto"/>
          <w:sz w:val="32"/>
          <w:szCs w:val="32"/>
          <w:highlight w:val="none"/>
        </w:rPr>
        <w:t>3.</w:t>
      </w:r>
      <w:r>
        <w:rPr>
          <w:rFonts w:hint="eastAsia" w:ascii="仿宋_GB2312" w:eastAsia="仿宋_GB2312"/>
          <w:b/>
          <w:color w:val="auto"/>
          <w:sz w:val="32"/>
          <w:szCs w:val="32"/>
          <w:highlight w:val="none"/>
        </w:rPr>
        <w:t>公务接待费支出</w:t>
      </w:r>
      <w:r>
        <w:rPr>
          <w:rFonts w:hint="eastAsia" w:ascii="仿宋_GB2312" w:eastAsia="仿宋_GB2312"/>
          <w:color w:val="auto"/>
          <w:sz w:val="32"/>
          <w:szCs w:val="32"/>
          <w:highlight w:val="none"/>
          <w:lang w:val="en-US" w:eastAsia="zh-CN"/>
        </w:rPr>
        <w:t>0.46</w:t>
      </w:r>
      <w:r>
        <w:rPr>
          <w:rFonts w:hint="eastAsia" w:ascii="仿宋_GB2312" w:eastAsia="仿宋_GB2312"/>
          <w:color w:val="auto"/>
          <w:sz w:val="32"/>
          <w:szCs w:val="32"/>
          <w:highlight w:val="none"/>
        </w:rPr>
        <w:t>万元，</w:t>
      </w:r>
      <w:r>
        <w:rPr>
          <w:rStyle w:val="16"/>
          <w:rFonts w:hint="eastAsia" w:ascii="仿宋" w:hAnsi="仿宋" w:eastAsia="仿宋"/>
          <w:b w:val="0"/>
          <w:bCs/>
          <w:color w:val="auto"/>
          <w:sz w:val="32"/>
          <w:szCs w:val="32"/>
          <w:highlight w:val="none"/>
        </w:rPr>
        <w:t>完成预算</w:t>
      </w:r>
      <w:r>
        <w:rPr>
          <w:rStyle w:val="16"/>
          <w:rFonts w:hint="eastAsia" w:ascii="仿宋" w:hAnsi="仿宋" w:eastAsia="仿宋"/>
          <w:b w:val="0"/>
          <w:bCs/>
          <w:color w:val="auto"/>
          <w:sz w:val="32"/>
          <w:szCs w:val="32"/>
          <w:highlight w:val="none"/>
          <w:lang w:val="en-US" w:eastAsia="zh-CN"/>
        </w:rPr>
        <w:t>100</w:t>
      </w:r>
      <w:r>
        <w:rPr>
          <w:rStyle w:val="16"/>
          <w:rFonts w:ascii="仿宋" w:hAnsi="仿宋" w:eastAsia="仿宋"/>
          <w:b w:val="0"/>
          <w:bCs/>
          <w:color w:val="auto"/>
          <w:sz w:val="32"/>
          <w:szCs w:val="32"/>
          <w:highlight w:val="none"/>
        </w:rPr>
        <w:t>%</w:t>
      </w:r>
      <w:r>
        <w:rPr>
          <w:rStyle w:val="16"/>
          <w:rFonts w:hint="eastAsia" w:ascii="仿宋" w:hAnsi="仿宋" w:eastAsia="仿宋"/>
          <w:b w:val="0"/>
          <w:bCs/>
          <w:color w:val="auto"/>
          <w:sz w:val="32"/>
          <w:szCs w:val="32"/>
          <w:highlight w:val="none"/>
        </w:rPr>
        <w:t>。</w:t>
      </w:r>
      <w:r>
        <w:rPr>
          <w:rFonts w:hint="eastAsia" w:ascii="仿宋_GB2312" w:eastAsia="仿宋_GB2312"/>
          <w:color w:val="auto"/>
          <w:sz w:val="32"/>
          <w:szCs w:val="32"/>
          <w:highlight w:val="none"/>
        </w:rPr>
        <w:t>公务接待费支出决算比</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21</w:t>
      </w:r>
      <w:r>
        <w:rPr>
          <w:rFonts w:hint="eastAsia" w:ascii="仿宋_GB2312" w:eastAsia="仿宋_GB2312"/>
          <w:color w:val="auto"/>
          <w:sz w:val="32"/>
          <w:szCs w:val="32"/>
          <w:highlight w:val="none"/>
        </w:rPr>
        <w:t>年减少</w:t>
      </w:r>
      <w:r>
        <w:rPr>
          <w:rFonts w:hint="eastAsia" w:ascii="仿宋_GB2312" w:eastAsia="仿宋_GB2312"/>
          <w:color w:val="auto"/>
          <w:sz w:val="32"/>
          <w:szCs w:val="32"/>
          <w:highlight w:val="none"/>
          <w:lang w:val="en-US" w:eastAsia="zh-CN"/>
        </w:rPr>
        <w:t>0.02</w:t>
      </w:r>
      <w:r>
        <w:rPr>
          <w:rFonts w:hint="eastAsia" w:ascii="仿宋_GB2312" w:eastAsia="仿宋_GB2312"/>
          <w:color w:val="auto"/>
          <w:sz w:val="32"/>
          <w:szCs w:val="32"/>
          <w:highlight w:val="none"/>
        </w:rPr>
        <w:t>万元，下降</w:t>
      </w:r>
      <w:r>
        <w:rPr>
          <w:rFonts w:hint="eastAsia" w:ascii="仿宋_GB2312" w:eastAsia="仿宋_GB2312"/>
          <w:color w:val="auto"/>
          <w:sz w:val="32"/>
          <w:szCs w:val="32"/>
          <w:highlight w:val="none"/>
          <w:lang w:val="en-US" w:eastAsia="zh-CN"/>
        </w:rPr>
        <w:t>4.17</w:t>
      </w:r>
      <w:r>
        <w:rPr>
          <w:rFonts w:ascii="仿宋_GB2312" w:eastAsia="仿宋_GB2312"/>
          <w:color w:val="auto"/>
          <w:sz w:val="32"/>
          <w:szCs w:val="32"/>
          <w:highlight w:val="none"/>
        </w:rPr>
        <w:t>%</w:t>
      </w:r>
      <w:r>
        <w:rPr>
          <w:rFonts w:hint="eastAsia" w:ascii="仿宋_GB2312" w:eastAsia="仿宋_GB2312"/>
          <w:color w:val="auto"/>
          <w:sz w:val="32"/>
          <w:szCs w:val="32"/>
          <w:highlight w:val="none"/>
        </w:rPr>
        <w:t>。主要原因是</w:t>
      </w:r>
      <w:r>
        <w:rPr>
          <w:rFonts w:hint="eastAsia" w:ascii="仿宋_GB2312" w:eastAsia="仿宋_GB2312"/>
          <w:color w:val="auto"/>
          <w:sz w:val="32"/>
          <w:szCs w:val="32"/>
          <w:highlight w:val="none"/>
          <w:lang w:eastAsia="zh-CN"/>
        </w:rPr>
        <w:t>疫情期间接待减少</w:t>
      </w:r>
      <w:r>
        <w:rPr>
          <w:rFonts w:hint="eastAsia" w:ascii="仿宋_GB2312" w:eastAsia="仿宋_GB2312"/>
          <w:color w:val="auto"/>
          <w:sz w:val="32"/>
          <w:szCs w:val="32"/>
          <w:highlight w:val="none"/>
        </w:rPr>
        <w:t>。其中：</w:t>
      </w:r>
    </w:p>
    <w:p>
      <w:pPr>
        <w:spacing w:line="600" w:lineRule="exact"/>
        <w:ind w:firstLine="640"/>
        <w:rPr>
          <w:rFonts w:ascii="仿宋_GB2312" w:eastAsia="仿宋_GB2312"/>
          <w:color w:val="auto"/>
          <w:sz w:val="32"/>
          <w:szCs w:val="32"/>
          <w:highlight w:val="none"/>
        </w:rPr>
      </w:pPr>
      <w:r>
        <w:rPr>
          <w:rFonts w:hint="eastAsia" w:ascii="仿宋" w:hAnsi="仿宋" w:eastAsia="仿宋"/>
          <w:b/>
          <w:color w:val="auto"/>
          <w:sz w:val="32"/>
          <w:szCs w:val="32"/>
          <w:highlight w:val="none"/>
        </w:rPr>
        <w:t>国内公务接待支出</w:t>
      </w:r>
      <w:r>
        <w:rPr>
          <w:rFonts w:hint="eastAsia" w:ascii="仿宋" w:hAnsi="仿宋" w:eastAsia="仿宋"/>
          <w:color w:val="auto"/>
          <w:sz w:val="32"/>
          <w:szCs w:val="32"/>
          <w:highlight w:val="none"/>
          <w:lang w:val="en-US" w:eastAsia="zh-CN"/>
        </w:rPr>
        <w:t>0.46</w:t>
      </w:r>
      <w:r>
        <w:rPr>
          <w:rFonts w:hint="eastAsia" w:ascii="仿宋_GB2312" w:eastAsia="仿宋_GB2312"/>
          <w:color w:val="auto"/>
          <w:sz w:val="32"/>
          <w:szCs w:val="32"/>
          <w:highlight w:val="none"/>
        </w:rPr>
        <w:t>万元，主要用于执行公务、开展业务活动开支的交通费、住宿费、用餐费等。国内公务接待</w:t>
      </w:r>
      <w:r>
        <w:rPr>
          <w:rFonts w:hint="eastAsia" w:ascii="仿宋_GB2312" w:eastAsia="仿宋_GB2312"/>
          <w:color w:val="auto"/>
          <w:sz w:val="32"/>
          <w:szCs w:val="32"/>
          <w:highlight w:val="none"/>
          <w:lang w:val="en-US" w:eastAsia="zh-CN"/>
        </w:rPr>
        <w:t>5</w:t>
      </w:r>
      <w:r>
        <w:rPr>
          <w:rFonts w:hint="eastAsia" w:ascii="仿宋_GB2312" w:eastAsia="仿宋_GB2312"/>
          <w:color w:val="auto"/>
          <w:sz w:val="32"/>
          <w:szCs w:val="32"/>
          <w:highlight w:val="none"/>
        </w:rPr>
        <w:t>批次，</w:t>
      </w:r>
      <w:r>
        <w:rPr>
          <w:rFonts w:hint="eastAsia" w:ascii="仿宋_GB2312" w:eastAsia="仿宋_GB2312"/>
          <w:color w:val="auto"/>
          <w:sz w:val="32"/>
          <w:szCs w:val="32"/>
          <w:highlight w:val="none"/>
          <w:lang w:val="en-US" w:eastAsia="zh-CN"/>
        </w:rPr>
        <w:t>41</w:t>
      </w:r>
      <w:r>
        <w:rPr>
          <w:rFonts w:hint="eastAsia" w:ascii="仿宋_GB2312" w:eastAsia="仿宋_GB2312"/>
          <w:color w:val="auto"/>
          <w:sz w:val="32"/>
          <w:szCs w:val="32"/>
          <w:highlight w:val="none"/>
        </w:rPr>
        <w:t>人次（不包括陪同人员），共计支出</w:t>
      </w:r>
      <w:r>
        <w:rPr>
          <w:rFonts w:hint="eastAsia" w:ascii="仿宋_GB2312" w:eastAsia="仿宋_GB2312"/>
          <w:color w:val="auto"/>
          <w:sz w:val="32"/>
          <w:szCs w:val="32"/>
          <w:highlight w:val="none"/>
          <w:lang w:val="en-US" w:eastAsia="zh-CN"/>
        </w:rPr>
        <w:t>0.46</w:t>
      </w:r>
      <w:r>
        <w:rPr>
          <w:rFonts w:hint="eastAsia" w:ascii="仿宋_GB2312" w:eastAsia="仿宋_GB2312"/>
          <w:color w:val="auto"/>
          <w:sz w:val="32"/>
          <w:szCs w:val="32"/>
          <w:highlight w:val="none"/>
        </w:rPr>
        <w:t>万元，具体内容包括：</w:t>
      </w:r>
      <w:r>
        <w:rPr>
          <w:rFonts w:hint="eastAsia" w:ascii="仿宋_GB2312" w:eastAsia="仿宋_GB2312"/>
          <w:color w:val="auto"/>
          <w:sz w:val="32"/>
          <w:szCs w:val="32"/>
          <w:highlight w:val="none"/>
          <w:lang w:eastAsia="zh-CN"/>
        </w:rPr>
        <w:t>接待省级来院检查院感及疫情防控工作人员费用</w:t>
      </w:r>
      <w:r>
        <w:rPr>
          <w:rFonts w:hint="eastAsia" w:ascii="仿宋_GB2312" w:eastAsia="仿宋_GB2312"/>
          <w:color w:val="auto"/>
          <w:sz w:val="32"/>
          <w:szCs w:val="32"/>
          <w:highlight w:val="none"/>
          <w:lang w:val="en-US" w:eastAsia="zh-CN"/>
        </w:rPr>
        <w:t>800元，省妇幼保健院专家到我院现场指导工作（两批次）1110元，接待省疫情督查组1500元，接待专家组1190元</w:t>
      </w:r>
      <w:r>
        <w:rPr>
          <w:rFonts w:hint="eastAsia" w:ascii="仿宋_GB2312" w:eastAsia="仿宋_GB2312"/>
          <w:color w:val="auto"/>
          <w:sz w:val="32"/>
          <w:szCs w:val="32"/>
          <w:highlight w:val="none"/>
        </w:rPr>
        <w:t>。</w:t>
      </w:r>
    </w:p>
    <w:p>
      <w:pPr>
        <w:spacing w:line="600" w:lineRule="exact"/>
        <w:ind w:firstLine="643" w:firstLineChars="200"/>
      </w:pPr>
      <w:r>
        <w:rPr>
          <w:rFonts w:hint="eastAsia" w:ascii="仿宋" w:hAnsi="仿宋" w:eastAsia="仿宋"/>
          <w:b/>
          <w:color w:val="auto"/>
          <w:sz w:val="32"/>
          <w:szCs w:val="32"/>
          <w:highlight w:val="none"/>
        </w:rPr>
        <w:t>外事接待支出</w:t>
      </w:r>
      <w:r>
        <w:rPr>
          <w:rFonts w:hint="eastAsia" w:ascii="仿宋" w:hAnsi="仿宋" w:eastAsia="仿宋"/>
          <w:color w:val="auto"/>
          <w:sz w:val="32"/>
          <w:szCs w:val="32"/>
          <w:highlight w:val="none"/>
          <w:lang w:val="en-US" w:eastAsia="zh-CN"/>
        </w:rPr>
        <w:t>0</w:t>
      </w:r>
      <w:r>
        <w:rPr>
          <w:rFonts w:hint="eastAsia" w:ascii="仿宋_GB2312" w:eastAsia="仿宋_GB2312"/>
          <w:color w:val="auto"/>
          <w:sz w:val="32"/>
          <w:szCs w:val="32"/>
          <w:highlight w:val="none"/>
        </w:rPr>
        <w:t>万元，共计支出</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w:t>
      </w:r>
      <w:bookmarkStart w:id="58" w:name="_Toc15396610"/>
      <w:bookmarkStart w:id="59" w:name="_Toc15377218"/>
    </w:p>
    <w:p>
      <w:pPr>
        <w:spacing w:line="600" w:lineRule="exact"/>
        <w:ind w:firstLine="640"/>
        <w:outlineLvl w:val="1"/>
        <w:rPr>
          <w:rFonts w:hint="eastAsia" w:ascii="黑体" w:eastAsia="黑体"/>
          <w:color w:val="auto"/>
          <w:sz w:val="32"/>
          <w:szCs w:val="32"/>
          <w:highlight w:val="none"/>
        </w:rPr>
      </w:pPr>
      <w:bookmarkStart w:id="60" w:name="_Toc21677"/>
    </w:p>
    <w:p>
      <w:pPr>
        <w:spacing w:line="600" w:lineRule="exact"/>
        <w:ind w:firstLine="640"/>
        <w:outlineLvl w:val="1"/>
        <w:rPr>
          <w:rStyle w:val="27"/>
          <w:rFonts w:ascii="黑体" w:hAnsi="黑体" w:eastAsia="黑体"/>
          <w:color w:val="auto"/>
          <w:highlight w:val="none"/>
        </w:rPr>
      </w:pPr>
      <w:r>
        <w:rPr>
          <w:rFonts w:hint="eastAsia" w:ascii="黑体" w:eastAsia="黑体"/>
          <w:color w:val="auto"/>
          <w:sz w:val="32"/>
          <w:szCs w:val="32"/>
          <w:highlight w:val="none"/>
        </w:rPr>
        <w:t>八、</w:t>
      </w:r>
      <w:r>
        <w:rPr>
          <w:rStyle w:val="27"/>
          <w:rFonts w:hint="eastAsia" w:ascii="黑体" w:hAnsi="黑体" w:eastAsia="黑体"/>
          <w:b w:val="0"/>
          <w:color w:val="auto"/>
          <w:highlight w:val="none"/>
        </w:rPr>
        <w:t>政府性基金预算支出决算情况说明</w:t>
      </w:r>
      <w:bookmarkEnd w:id="58"/>
      <w:bookmarkEnd w:id="59"/>
      <w:bookmarkEnd w:id="60"/>
    </w:p>
    <w:p>
      <w:pPr>
        <w:spacing w:line="600" w:lineRule="exact"/>
        <w:ind w:firstLine="640"/>
        <w:rPr>
          <w:rFonts w:hint="eastAsia" w:ascii="仿宋_GB2312" w:eastAsia="仿宋_GB2312"/>
          <w:color w:val="auto"/>
          <w:sz w:val="32"/>
          <w:szCs w:val="32"/>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年政府性基金预算</w:t>
      </w:r>
      <w:r>
        <w:rPr>
          <w:rFonts w:hint="eastAsia" w:ascii="仿宋_GB2312" w:eastAsia="仿宋_GB2312"/>
          <w:color w:val="auto"/>
          <w:sz w:val="32"/>
          <w:szCs w:val="32"/>
          <w:highlight w:val="none"/>
          <w:lang w:eastAsia="zh-CN"/>
        </w:rPr>
        <w:t>财政</w:t>
      </w:r>
      <w:r>
        <w:rPr>
          <w:rFonts w:hint="eastAsia" w:ascii="仿宋_GB2312" w:eastAsia="仿宋_GB2312"/>
          <w:color w:val="auto"/>
          <w:sz w:val="32"/>
          <w:szCs w:val="32"/>
          <w:highlight w:val="none"/>
        </w:rPr>
        <w:t>拨款支出</w:t>
      </w:r>
      <w:r>
        <w:rPr>
          <w:rFonts w:hint="eastAsia" w:ascii="仿宋_GB2312" w:eastAsia="仿宋_GB2312"/>
          <w:color w:val="auto"/>
          <w:sz w:val="32"/>
          <w:szCs w:val="32"/>
          <w:highlight w:val="none"/>
          <w:lang w:val="en-US" w:eastAsia="zh-CN"/>
        </w:rPr>
        <w:t>995.82</w:t>
      </w:r>
      <w:r>
        <w:rPr>
          <w:rFonts w:hint="eastAsia" w:ascii="仿宋_GB2312" w:eastAsia="仿宋_GB2312"/>
          <w:color w:val="auto"/>
          <w:sz w:val="32"/>
          <w:szCs w:val="32"/>
          <w:highlight w:val="none"/>
        </w:rPr>
        <w:t>万元。</w:t>
      </w:r>
    </w:p>
    <w:p>
      <w:pPr>
        <w:pStyle w:val="2"/>
      </w:pPr>
    </w:p>
    <w:p>
      <w:pPr>
        <w:numPr>
          <w:ilvl w:val="0"/>
          <w:numId w:val="3"/>
        </w:numPr>
        <w:spacing w:line="600" w:lineRule="exact"/>
        <w:ind w:firstLine="640"/>
        <w:outlineLvl w:val="1"/>
        <w:rPr>
          <w:rStyle w:val="27"/>
          <w:rFonts w:ascii="黑体" w:hAnsi="黑体" w:eastAsia="黑体"/>
          <w:b w:val="0"/>
          <w:color w:val="auto"/>
          <w:highlight w:val="none"/>
        </w:rPr>
      </w:pPr>
      <w:bookmarkStart w:id="61" w:name="_Toc19310"/>
      <w:bookmarkStart w:id="62" w:name="_Toc15396611"/>
      <w:bookmarkStart w:id="63" w:name="_Toc15377219"/>
      <w:r>
        <w:rPr>
          <w:rStyle w:val="27"/>
          <w:rFonts w:hint="eastAsia" w:ascii="黑体" w:hAnsi="黑体" w:eastAsia="黑体"/>
          <w:b w:val="0"/>
          <w:color w:val="auto"/>
          <w:highlight w:val="none"/>
        </w:rPr>
        <w:t>国有资本经营预算支出决算情况说明</w:t>
      </w:r>
      <w:bookmarkEnd w:id="61"/>
      <w:bookmarkEnd w:id="62"/>
      <w:bookmarkEnd w:id="63"/>
    </w:p>
    <w:p>
      <w:pPr>
        <w:spacing w:line="600" w:lineRule="exact"/>
        <w:ind w:firstLine="640"/>
        <w:rPr>
          <w:rFonts w:hint="eastAsia" w:ascii="仿宋_GB2312" w:eastAsia="仿宋_GB2312"/>
          <w:color w:val="auto"/>
          <w:sz w:val="32"/>
          <w:szCs w:val="32"/>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年国有资本经营预算</w:t>
      </w:r>
      <w:r>
        <w:rPr>
          <w:rFonts w:hint="eastAsia" w:ascii="仿宋_GB2312" w:eastAsia="仿宋_GB2312"/>
          <w:color w:val="auto"/>
          <w:sz w:val="32"/>
          <w:szCs w:val="32"/>
          <w:highlight w:val="none"/>
          <w:lang w:eastAsia="zh-CN"/>
        </w:rPr>
        <w:t>财政</w:t>
      </w:r>
      <w:r>
        <w:rPr>
          <w:rFonts w:hint="eastAsia" w:ascii="仿宋_GB2312" w:eastAsia="仿宋_GB2312"/>
          <w:color w:val="auto"/>
          <w:sz w:val="32"/>
          <w:szCs w:val="32"/>
          <w:highlight w:val="none"/>
        </w:rPr>
        <w:t>拨款支出</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w:t>
      </w:r>
    </w:p>
    <w:p>
      <w:pPr>
        <w:pStyle w:val="2"/>
      </w:pPr>
    </w:p>
    <w:p>
      <w:pPr>
        <w:numPr>
          <w:ilvl w:val="0"/>
          <w:numId w:val="3"/>
        </w:numPr>
        <w:spacing w:line="600" w:lineRule="exact"/>
        <w:ind w:firstLine="640"/>
        <w:outlineLvl w:val="1"/>
        <w:rPr>
          <w:rStyle w:val="27"/>
          <w:rFonts w:hint="eastAsia" w:ascii="黑体" w:hAnsi="黑体" w:eastAsia="黑体"/>
          <w:b w:val="0"/>
          <w:color w:val="auto"/>
          <w:highlight w:val="none"/>
        </w:rPr>
      </w:pPr>
      <w:bookmarkStart w:id="64" w:name="_Toc15396612"/>
      <w:bookmarkStart w:id="65" w:name="_Toc15377221"/>
      <w:bookmarkStart w:id="66" w:name="_Toc2285"/>
      <w:r>
        <w:rPr>
          <w:rStyle w:val="27"/>
          <w:rFonts w:hint="eastAsia" w:ascii="黑体" w:hAnsi="黑体" w:eastAsia="黑体"/>
          <w:b w:val="0"/>
          <w:color w:val="auto"/>
          <w:highlight w:val="none"/>
        </w:rPr>
        <w:t>其他重要事项的情况说明</w:t>
      </w:r>
      <w:bookmarkEnd w:id="64"/>
      <w:bookmarkEnd w:id="65"/>
      <w:bookmarkEnd w:id="66"/>
    </w:p>
    <w:p>
      <w:pPr>
        <w:spacing w:line="600" w:lineRule="exact"/>
        <w:ind w:firstLine="643" w:firstLineChars="200"/>
        <w:outlineLvl w:val="2"/>
        <w:rPr>
          <w:rFonts w:ascii="仿宋" w:hAnsi="仿宋" w:eastAsia="仿宋"/>
          <w:color w:val="auto"/>
          <w:sz w:val="32"/>
          <w:szCs w:val="32"/>
          <w:highlight w:val="none"/>
        </w:rPr>
      </w:pPr>
      <w:bookmarkStart w:id="67" w:name="_Toc15377222"/>
      <w:r>
        <w:rPr>
          <w:rFonts w:hint="eastAsia" w:ascii="仿宋" w:hAnsi="仿宋" w:eastAsia="仿宋"/>
          <w:b/>
          <w:color w:val="auto"/>
          <w:sz w:val="32"/>
          <w:szCs w:val="32"/>
          <w:highlight w:val="none"/>
        </w:rPr>
        <w:t>（一）机关运行经费支出情况</w:t>
      </w:r>
      <w:bookmarkEnd w:id="67"/>
    </w:p>
    <w:p>
      <w:pPr>
        <w:spacing w:line="600" w:lineRule="exact"/>
        <w:ind w:firstLine="640" w:firstLineChars="200"/>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eastAsia="zh-CN"/>
        </w:rPr>
        <w:t>巴中市妇幼保健院</w:t>
      </w:r>
      <w:r>
        <w:rPr>
          <w:rFonts w:hint="eastAsia" w:ascii="仿宋_GB2312" w:eastAsia="仿宋_GB2312"/>
          <w:color w:val="auto"/>
          <w:sz w:val="32"/>
          <w:szCs w:val="32"/>
          <w:highlight w:val="none"/>
        </w:rPr>
        <w:t>机关运行经费支出</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万元，比</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21</w:t>
      </w:r>
      <w:r>
        <w:rPr>
          <w:rFonts w:hint="eastAsia" w:ascii="仿宋_GB2312" w:eastAsia="仿宋_GB2312"/>
          <w:color w:val="auto"/>
          <w:sz w:val="32"/>
          <w:szCs w:val="32"/>
          <w:highlight w:val="none"/>
        </w:rPr>
        <w:t>年增加</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万元，增长</w:t>
      </w:r>
      <w:r>
        <w:rPr>
          <w:rFonts w:hint="eastAsia" w:ascii="仿宋_GB2312" w:eastAsia="仿宋_GB2312"/>
          <w:color w:val="auto"/>
          <w:sz w:val="32"/>
          <w:szCs w:val="32"/>
          <w:highlight w:val="none"/>
          <w:lang w:val="en-US" w:eastAsia="zh-CN"/>
        </w:rPr>
        <w:t>0</w:t>
      </w:r>
      <w:r>
        <w:rPr>
          <w:rFonts w:ascii="仿宋_GB2312" w:eastAsia="仿宋_GB2312"/>
          <w:color w:val="auto"/>
          <w:sz w:val="32"/>
          <w:szCs w:val="32"/>
          <w:highlight w:val="none"/>
        </w:rPr>
        <w:t>%</w:t>
      </w:r>
      <w:r>
        <w:rPr>
          <w:rFonts w:hint="eastAsia" w:ascii="仿宋_GB2312" w:eastAsia="仿宋_GB2312"/>
          <w:color w:val="auto"/>
          <w:sz w:val="32"/>
          <w:szCs w:val="32"/>
          <w:highlight w:val="none"/>
          <w:lang w:val="en-US" w:eastAsia="zh-CN"/>
        </w:rPr>
        <w:t>0</w:t>
      </w:r>
    </w:p>
    <w:p>
      <w:pPr>
        <w:autoSpaceDE w:val="0"/>
        <w:autoSpaceDN w:val="0"/>
        <w:adjustRightInd w:val="0"/>
        <w:spacing w:line="600" w:lineRule="exact"/>
        <w:ind w:firstLine="643" w:firstLineChars="200"/>
        <w:jc w:val="left"/>
        <w:outlineLvl w:val="2"/>
        <w:rPr>
          <w:rFonts w:ascii="仿宋" w:hAnsi="仿宋" w:eastAsia="仿宋"/>
          <w:b/>
          <w:color w:val="auto"/>
          <w:sz w:val="32"/>
          <w:szCs w:val="32"/>
          <w:highlight w:val="none"/>
        </w:rPr>
      </w:pPr>
      <w:bookmarkStart w:id="68" w:name="_Toc15377223"/>
      <w:r>
        <w:rPr>
          <w:rFonts w:hint="eastAsia" w:ascii="仿宋" w:hAnsi="仿宋" w:eastAsia="仿宋"/>
          <w:b/>
          <w:color w:val="auto"/>
          <w:sz w:val="32"/>
          <w:szCs w:val="32"/>
          <w:highlight w:val="none"/>
        </w:rPr>
        <w:t>（二）政府采购支出情况</w:t>
      </w:r>
      <w:bookmarkEnd w:id="68"/>
    </w:p>
    <w:p>
      <w:pPr>
        <w:autoSpaceDE w:val="0"/>
        <w:autoSpaceDN w:val="0"/>
        <w:adjustRightInd w:val="0"/>
        <w:spacing w:line="600" w:lineRule="exact"/>
        <w:ind w:firstLine="640" w:firstLineChars="200"/>
        <w:jc w:val="left"/>
        <w:rPr>
          <w:rFonts w:hint="eastAsia" w:ascii="仿宋_GB2312" w:eastAsia="仿宋_GB2312"/>
          <w:color w:val="auto"/>
          <w:sz w:val="32"/>
          <w:szCs w:val="32"/>
          <w:highlight w:val="none"/>
        </w:rPr>
      </w:pPr>
      <w:bookmarkStart w:id="69" w:name="_Toc15377224"/>
      <w:r>
        <w:rPr>
          <w:rFonts w:hint="eastAsia" w:ascii="仿宋_GB2312" w:eastAsia="仿宋_GB2312"/>
          <w:color w:val="auto"/>
          <w:sz w:val="32"/>
          <w:szCs w:val="32"/>
          <w:highlight w:val="none"/>
        </w:rPr>
        <w:t>2022年，巴中市妇幼保健院政府采购支出总额616.5918万元，其中：政府采购货物支出489.5118万元、政府采购工程支出0万元、政府采购服务支出127.08万元。主要用于…（具体工作）。授予中小企业合同金额561.2588万元，占政府采购支出总额的91%，其中：授予小微企业合同金额55.33万元，占政府采购支出总额的9%。</w:t>
      </w:r>
    </w:p>
    <w:p>
      <w:pPr>
        <w:autoSpaceDE w:val="0"/>
        <w:autoSpaceDN w:val="0"/>
        <w:adjustRightInd w:val="0"/>
        <w:spacing w:line="600" w:lineRule="exact"/>
        <w:ind w:firstLine="643" w:firstLineChars="200"/>
        <w:jc w:val="left"/>
        <w:outlineLvl w:val="2"/>
        <w:rPr>
          <w:rFonts w:ascii="仿宋" w:hAnsi="仿宋" w:eastAsia="仿宋"/>
          <w:b/>
          <w:color w:val="auto"/>
          <w:sz w:val="32"/>
          <w:szCs w:val="32"/>
          <w:highlight w:val="none"/>
        </w:rPr>
      </w:pPr>
      <w:r>
        <w:rPr>
          <w:rFonts w:hint="eastAsia" w:ascii="仿宋" w:hAnsi="仿宋" w:eastAsia="仿宋"/>
          <w:b/>
          <w:color w:val="auto"/>
          <w:sz w:val="32"/>
          <w:szCs w:val="32"/>
          <w:highlight w:val="none"/>
        </w:rPr>
        <w:t>（三）国有资产占有使用情况</w:t>
      </w:r>
      <w:bookmarkEnd w:id="69"/>
    </w:p>
    <w:p>
      <w:pPr>
        <w:autoSpaceDE w:val="0"/>
        <w:autoSpaceDN w:val="0"/>
        <w:adjustRightInd w:val="0"/>
        <w:spacing w:line="600" w:lineRule="exact"/>
        <w:ind w:firstLine="640" w:firstLineChars="200"/>
        <w:jc w:val="left"/>
      </w:pPr>
      <w:r>
        <w:rPr>
          <w:rFonts w:hint="eastAsia" w:ascii="仿宋_GB2312" w:eastAsia="仿宋_GB2312"/>
          <w:color w:val="auto"/>
          <w:sz w:val="32"/>
          <w:szCs w:val="32"/>
          <w:highlight w:val="none"/>
        </w:rPr>
        <w:t>截至</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w:t>
      </w:r>
      <w:r>
        <w:rPr>
          <w:rFonts w:ascii="仿宋_GB2312" w:eastAsia="仿宋_GB2312"/>
          <w:color w:val="auto"/>
          <w:sz w:val="32"/>
          <w:szCs w:val="32"/>
          <w:highlight w:val="none"/>
        </w:rPr>
        <w:t>12</w:t>
      </w:r>
      <w:r>
        <w:rPr>
          <w:rFonts w:hint="eastAsia" w:ascii="仿宋_GB2312" w:eastAsia="仿宋_GB2312"/>
          <w:color w:val="auto"/>
          <w:sz w:val="32"/>
          <w:szCs w:val="32"/>
          <w:highlight w:val="none"/>
        </w:rPr>
        <w:t>月</w:t>
      </w:r>
      <w:r>
        <w:rPr>
          <w:rFonts w:ascii="仿宋_GB2312" w:eastAsia="仿宋_GB2312"/>
          <w:color w:val="auto"/>
          <w:sz w:val="32"/>
          <w:szCs w:val="32"/>
          <w:highlight w:val="none"/>
        </w:rPr>
        <w:t>31</w:t>
      </w:r>
      <w:r>
        <w:rPr>
          <w:rFonts w:hint="eastAsia" w:ascii="仿宋_GB2312" w:eastAsia="仿宋_GB2312"/>
          <w:color w:val="auto"/>
          <w:sz w:val="32"/>
          <w:szCs w:val="32"/>
          <w:highlight w:val="none"/>
        </w:rPr>
        <w:t>日，共有车辆</w:t>
      </w:r>
      <w:r>
        <w:rPr>
          <w:rFonts w:hint="eastAsia" w:ascii="仿宋_GB2312" w:eastAsia="仿宋_GB2312"/>
          <w:color w:val="auto"/>
          <w:sz w:val="32"/>
          <w:szCs w:val="32"/>
          <w:highlight w:val="none"/>
          <w:lang w:val="en-US" w:eastAsia="zh-CN"/>
        </w:rPr>
        <w:t>3</w:t>
      </w:r>
      <w:r>
        <w:rPr>
          <w:rFonts w:hint="eastAsia" w:ascii="仿宋_GB2312" w:eastAsia="仿宋_GB2312"/>
          <w:color w:val="auto"/>
          <w:sz w:val="32"/>
          <w:szCs w:val="32"/>
          <w:highlight w:val="none"/>
        </w:rPr>
        <w:t>辆，其中：主要领导干部用车</w:t>
      </w:r>
      <w:r>
        <w:rPr>
          <w:rFonts w:hint="eastAsia" w:ascii="仿宋_GB2312" w:eastAsia="仿宋_GB2312"/>
          <w:color w:val="auto"/>
          <w:sz w:val="32"/>
          <w:szCs w:val="32"/>
          <w:highlight w:val="none"/>
          <w:lang w:val="en-US" w:eastAsia="zh-CN"/>
        </w:rPr>
        <w:t>1</w:t>
      </w:r>
      <w:r>
        <w:rPr>
          <w:rFonts w:hint="eastAsia" w:ascii="仿宋_GB2312" w:eastAsia="仿宋_GB2312"/>
          <w:color w:val="auto"/>
          <w:sz w:val="32"/>
          <w:szCs w:val="32"/>
          <w:highlight w:val="none"/>
        </w:rPr>
        <w:t>辆、机要通信用车</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辆、应急保障用车</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辆、其他用车</w:t>
      </w:r>
      <w:r>
        <w:rPr>
          <w:rFonts w:hint="eastAsia" w:ascii="仿宋_GB2312" w:eastAsia="仿宋_GB2312"/>
          <w:color w:val="auto"/>
          <w:sz w:val="32"/>
          <w:szCs w:val="32"/>
          <w:highlight w:val="none"/>
          <w:lang w:eastAsia="zh-CN"/>
        </w:rPr>
        <w:t>含救护车</w:t>
      </w:r>
      <w:r>
        <w:rPr>
          <w:rFonts w:hint="eastAsia" w:ascii="仿宋_GB2312" w:eastAsia="仿宋_GB2312"/>
          <w:color w:val="auto"/>
          <w:sz w:val="32"/>
          <w:szCs w:val="32"/>
          <w:highlight w:val="none"/>
          <w:lang w:val="en-US" w:eastAsia="zh-CN"/>
        </w:rPr>
        <w:t>2</w:t>
      </w:r>
      <w:r>
        <w:rPr>
          <w:rFonts w:hint="eastAsia" w:ascii="仿宋_GB2312" w:eastAsia="仿宋_GB2312"/>
          <w:color w:val="auto"/>
          <w:sz w:val="32"/>
          <w:szCs w:val="32"/>
          <w:highlight w:val="none"/>
        </w:rPr>
        <w:t>辆</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highlight w:val="none"/>
        </w:rPr>
        <w:t>单价</w:t>
      </w:r>
      <w:r>
        <w:rPr>
          <w:rFonts w:ascii="仿宋_GB2312" w:eastAsia="仿宋_GB2312"/>
          <w:color w:val="auto"/>
          <w:sz w:val="32"/>
          <w:szCs w:val="32"/>
          <w:highlight w:val="none"/>
        </w:rPr>
        <w:t>100</w:t>
      </w:r>
      <w:r>
        <w:rPr>
          <w:rFonts w:hint="eastAsia" w:ascii="仿宋_GB2312" w:eastAsia="仿宋_GB2312"/>
          <w:color w:val="auto"/>
          <w:sz w:val="32"/>
          <w:szCs w:val="32"/>
          <w:highlight w:val="none"/>
        </w:rPr>
        <w:t>万元以上专用设备</w:t>
      </w:r>
      <w:r>
        <w:rPr>
          <w:rFonts w:hint="eastAsia" w:ascii="仿宋_GB2312" w:eastAsia="仿宋_GB2312"/>
          <w:color w:val="auto"/>
          <w:sz w:val="32"/>
          <w:szCs w:val="32"/>
          <w:highlight w:val="none"/>
          <w:lang w:val="en-US" w:eastAsia="zh-CN"/>
        </w:rPr>
        <w:t>6</w:t>
      </w:r>
      <w:r>
        <w:rPr>
          <w:rFonts w:hint="eastAsia" w:ascii="仿宋_GB2312" w:eastAsia="仿宋_GB2312"/>
          <w:color w:val="auto"/>
          <w:sz w:val="32"/>
          <w:szCs w:val="32"/>
          <w:highlight w:val="none"/>
        </w:rPr>
        <w:t>台（套）。</w:t>
      </w:r>
    </w:p>
    <w:p>
      <w:pPr>
        <w:autoSpaceDE w:val="0"/>
        <w:autoSpaceDN w:val="0"/>
        <w:adjustRightInd w:val="0"/>
        <w:spacing w:line="600" w:lineRule="exact"/>
        <w:ind w:firstLine="643" w:firstLineChars="200"/>
        <w:jc w:val="left"/>
        <w:outlineLvl w:val="2"/>
        <w:rPr>
          <w:rFonts w:hint="eastAsia" w:ascii="仿宋" w:hAnsi="仿宋" w:eastAsia="仿宋"/>
          <w:b/>
          <w:color w:val="auto"/>
          <w:sz w:val="32"/>
          <w:szCs w:val="32"/>
          <w:highlight w:val="none"/>
          <w:lang w:eastAsia="zh-CN"/>
        </w:rPr>
      </w:pPr>
      <w:r>
        <w:rPr>
          <w:rFonts w:hint="eastAsia" w:ascii="仿宋" w:hAnsi="仿宋" w:eastAsia="仿宋"/>
          <w:b/>
          <w:color w:val="auto"/>
          <w:sz w:val="32"/>
          <w:szCs w:val="32"/>
          <w:highlight w:val="none"/>
        </w:rPr>
        <w:t>（四）预算绩效管理情况</w:t>
      </w:r>
    </w:p>
    <w:p>
      <w:pPr>
        <w:pStyle w:val="2"/>
        <w:ind w:firstLine="640" w:firstLineChars="200"/>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根据预算绩效管理要求，本单位在202</w:t>
      </w:r>
      <w:r>
        <w:rPr>
          <w:rFonts w:hint="eastAsia" w:hAnsi="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rPr>
        <w:t>年度预算编制阶段，组织</w:t>
      </w:r>
      <w:r>
        <w:rPr>
          <w:rFonts w:hint="eastAsia" w:ascii="仿宋_GB2312" w:hAnsi="仿宋_GB2312" w:eastAsia="仿宋_GB2312" w:cs="仿宋_GB2312"/>
          <w:sz w:val="32"/>
          <w:szCs w:val="32"/>
        </w:rPr>
        <w:t>对公立医院</w:t>
      </w:r>
      <w:r>
        <w:rPr>
          <w:rFonts w:ascii="仿宋_GB2312" w:hAnsi="仿宋_GB2312" w:eastAsia="仿宋_GB2312" w:cs="仿宋_GB2312"/>
          <w:sz w:val="32"/>
          <w:szCs w:val="32"/>
        </w:rPr>
        <w:t>取消药品加成</w:t>
      </w:r>
      <w:r>
        <w:rPr>
          <w:rFonts w:hint="eastAsia" w:ascii="仿宋_GB2312" w:hAnsi="仿宋_GB2312" w:eastAsia="仿宋_GB2312" w:cs="仿宋_GB2312"/>
          <w:sz w:val="32"/>
          <w:szCs w:val="32"/>
        </w:rPr>
        <w:t>项目开展了预算事前绩效评估</w:t>
      </w:r>
      <w:r>
        <w:rPr>
          <w:rFonts w:hint="eastAsia" w:ascii="仿宋_GB2312" w:hAnsi="仿宋_GB2312" w:eastAsia="仿宋_GB2312" w:cs="仿宋_GB2312"/>
          <w:color w:val="auto"/>
          <w:sz w:val="32"/>
          <w:szCs w:val="32"/>
          <w:highlight w:val="none"/>
        </w:rPr>
        <w:t>等</w:t>
      </w:r>
      <w:r>
        <w:rPr>
          <w:rFonts w:hint="eastAsia" w:hAnsi="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rPr>
        <w:t>个项目开展了预算事前绩效评估，对</w:t>
      </w:r>
      <w:r>
        <w:rPr>
          <w:rFonts w:hint="eastAsia" w:hAnsi="仿宋_GB2312" w:cs="仿宋_GB2312"/>
          <w:color w:val="auto"/>
          <w:sz w:val="32"/>
          <w:szCs w:val="32"/>
          <w:highlight w:val="none"/>
          <w:lang w:val="en-US" w:eastAsia="zh-CN"/>
        </w:rPr>
        <w:t>10</w:t>
      </w:r>
      <w:r>
        <w:rPr>
          <w:rFonts w:hint="eastAsia" w:ascii="仿宋_GB2312" w:hAnsi="仿宋_GB2312" w:eastAsia="仿宋_GB2312" w:cs="仿宋_GB2312"/>
          <w:color w:val="auto"/>
          <w:sz w:val="32"/>
          <w:szCs w:val="32"/>
          <w:highlight w:val="none"/>
        </w:rPr>
        <w:t>个项目编制了绩效目标，预算执行过程中，选取</w:t>
      </w:r>
      <w:r>
        <w:rPr>
          <w:rFonts w:hint="eastAsia" w:hAnsi="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rPr>
        <w:t>个项目开展绩效监控，组织对</w:t>
      </w:r>
      <w:r>
        <w:rPr>
          <w:rFonts w:hint="eastAsia" w:hAnsi="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rPr>
        <w:t>个项目开展绩效自评，绩效自评表详见</w:t>
      </w:r>
      <w:r>
        <w:rPr>
          <w:rFonts w:hint="eastAsia" w:hAnsi="仿宋_GB2312" w:cs="仿宋_GB2312"/>
          <w:color w:val="auto"/>
          <w:sz w:val="32"/>
          <w:szCs w:val="32"/>
          <w:highlight w:val="none"/>
          <w:lang w:eastAsia="zh-CN"/>
        </w:rPr>
        <w:t>第四部分</w:t>
      </w:r>
      <w:r>
        <w:rPr>
          <w:rFonts w:hint="eastAsia" w:ascii="仿宋_GB2312" w:hAnsi="仿宋_GB2312" w:eastAsia="仿宋_GB2312" w:cs="仿宋_GB2312"/>
          <w:color w:val="auto"/>
          <w:sz w:val="32"/>
          <w:szCs w:val="32"/>
          <w:highlight w:val="none"/>
        </w:rPr>
        <w:t>附件。</w:t>
      </w:r>
    </w:p>
    <w:p>
      <w:pPr>
        <w:pStyle w:val="2"/>
        <w:ind w:firstLine="640" w:firstLineChars="200"/>
        <w:rPr>
          <w:rFonts w:hint="eastAsia" w:ascii="仿宋_GB2312" w:hAnsi="仿宋_GB2312" w:eastAsia="仿宋_GB2312" w:cs="仿宋_GB2312"/>
          <w:color w:val="auto"/>
          <w:sz w:val="32"/>
          <w:szCs w:val="32"/>
          <w:highlight w:val="none"/>
        </w:rPr>
      </w:pPr>
    </w:p>
    <w:p>
      <w:pPr>
        <w:widowControl/>
        <w:jc w:val="left"/>
        <w:rPr>
          <w:rFonts w:ascii="仿宋_GB2312" w:eastAsia="仿宋_GB2312"/>
          <w:b/>
          <w:color w:val="auto"/>
          <w:sz w:val="32"/>
          <w:szCs w:val="32"/>
          <w:highlight w:val="none"/>
        </w:rPr>
      </w:pPr>
      <w:r>
        <w:rPr>
          <w:rFonts w:ascii="仿宋_GB2312" w:eastAsia="仿宋_GB2312"/>
          <w:b/>
          <w:color w:val="auto"/>
          <w:sz w:val="32"/>
          <w:szCs w:val="32"/>
          <w:highlight w:val="none"/>
        </w:rPr>
        <w:br w:type="page"/>
      </w:r>
    </w:p>
    <w:p>
      <w:pPr>
        <w:numPr>
          <w:ilvl w:val="0"/>
          <w:numId w:val="4"/>
        </w:numPr>
        <w:spacing w:line="600" w:lineRule="exact"/>
        <w:ind w:firstLine="660" w:firstLineChars="150"/>
        <w:jc w:val="center"/>
        <w:outlineLvl w:val="0"/>
        <w:rPr>
          <w:rStyle w:val="26"/>
          <w:rFonts w:ascii="黑体" w:hAnsi="黑体" w:eastAsia="黑体"/>
          <w:b w:val="0"/>
          <w:color w:val="auto"/>
          <w:highlight w:val="none"/>
        </w:rPr>
      </w:pPr>
      <w:bookmarkStart w:id="70" w:name="_Toc15396613"/>
      <w:bookmarkStart w:id="71" w:name="_Toc29468"/>
      <w:bookmarkStart w:id="72" w:name="_Toc15377225"/>
      <w:r>
        <w:rPr>
          <w:rFonts w:hint="eastAsia" w:ascii="黑体" w:hAnsi="黑体" w:eastAsia="黑体"/>
          <w:color w:val="auto"/>
          <w:sz w:val="44"/>
          <w:szCs w:val="44"/>
          <w:highlight w:val="none"/>
        </w:rPr>
        <w:t>名</w:t>
      </w:r>
      <w:r>
        <w:rPr>
          <w:rStyle w:val="26"/>
          <w:rFonts w:hint="eastAsia" w:ascii="黑体" w:hAnsi="黑体" w:eastAsia="黑体"/>
          <w:b w:val="0"/>
          <w:color w:val="auto"/>
          <w:highlight w:val="none"/>
        </w:rPr>
        <w:t>词解释</w:t>
      </w:r>
      <w:bookmarkEnd w:id="70"/>
      <w:bookmarkEnd w:id="71"/>
      <w:bookmarkEnd w:id="72"/>
    </w:p>
    <w:p>
      <w:pPr>
        <w:spacing w:line="600" w:lineRule="exact"/>
        <w:jc w:val="left"/>
        <w:rPr>
          <w:rFonts w:ascii="宋体"/>
          <w:b/>
          <w:color w:val="auto"/>
          <w:sz w:val="44"/>
          <w:szCs w:val="44"/>
          <w:highlight w:val="none"/>
        </w:rPr>
      </w:pPr>
    </w:p>
    <w:p>
      <w:pPr>
        <w:pStyle w:val="24"/>
        <w:spacing w:line="560" w:lineRule="exact"/>
        <w:ind w:firstLine="640" w:firstLineChars="200"/>
        <w:rPr>
          <w:rFonts w:ascii="仿宋_GB2312" w:eastAsia="仿宋_GB2312"/>
          <w:color w:val="auto"/>
          <w:sz w:val="32"/>
          <w:szCs w:val="32"/>
          <w:highlight w:val="none"/>
        </w:rPr>
      </w:pPr>
      <w:r>
        <w:rPr>
          <w:rFonts w:ascii="仿宋_GB2312" w:eastAsia="仿宋_GB2312"/>
          <w:color w:val="auto"/>
          <w:sz w:val="32"/>
          <w:szCs w:val="32"/>
          <w:highlight w:val="none"/>
        </w:rPr>
        <w:t>1.</w:t>
      </w:r>
      <w:r>
        <w:rPr>
          <w:rFonts w:hint="eastAsia" w:ascii="仿宋_GB2312" w:eastAsia="仿宋_GB2312"/>
          <w:color w:val="auto"/>
          <w:sz w:val="32"/>
          <w:szCs w:val="32"/>
          <w:highlight w:val="none"/>
        </w:rPr>
        <w:t>财政拨款收入：指单位从同级财政部门取得的财政预算资金。</w:t>
      </w:r>
    </w:p>
    <w:p>
      <w:pPr>
        <w:pStyle w:val="24"/>
        <w:spacing w:line="560" w:lineRule="exact"/>
        <w:ind w:firstLine="640" w:firstLineChars="200"/>
        <w:rPr>
          <w:rFonts w:hint="eastAsia" w:ascii="仿宋_GB2312" w:eastAsia="仿宋_GB2312"/>
          <w:color w:val="auto"/>
          <w:sz w:val="32"/>
          <w:szCs w:val="32"/>
          <w:highlight w:val="none"/>
        </w:rPr>
      </w:pPr>
      <w:r>
        <w:rPr>
          <w:rFonts w:ascii="仿宋_GB2312" w:eastAsia="仿宋_GB2312"/>
          <w:color w:val="auto"/>
          <w:sz w:val="32"/>
          <w:szCs w:val="32"/>
          <w:highlight w:val="none"/>
        </w:rPr>
        <w:t>2.</w:t>
      </w:r>
      <w:r>
        <w:rPr>
          <w:rFonts w:hint="eastAsia" w:ascii="仿宋_GB2312" w:eastAsia="仿宋_GB2312"/>
          <w:color w:val="auto"/>
          <w:sz w:val="32"/>
          <w:szCs w:val="32"/>
          <w:highlight w:val="none"/>
        </w:rPr>
        <w:t>事业收入：指事业单位开展专业业务活动及辅助活动取得的收入。如</w:t>
      </w:r>
      <w:r>
        <w:rPr>
          <w:rFonts w:hint="eastAsia" w:ascii="仿宋_GB2312" w:eastAsia="仿宋_GB2312"/>
          <w:color w:val="auto"/>
          <w:sz w:val="32"/>
          <w:szCs w:val="32"/>
          <w:highlight w:val="none"/>
          <w:lang w:eastAsia="zh-CN"/>
        </w:rPr>
        <w:t>医疗收入</w:t>
      </w:r>
      <w:r>
        <w:rPr>
          <w:rFonts w:hint="eastAsia" w:ascii="仿宋_GB2312" w:eastAsia="仿宋_GB2312"/>
          <w:color w:val="auto"/>
          <w:sz w:val="32"/>
          <w:szCs w:val="32"/>
          <w:highlight w:val="none"/>
        </w:rPr>
        <w:t>等。</w:t>
      </w:r>
    </w:p>
    <w:p>
      <w:pPr>
        <w:pStyle w:val="24"/>
        <w:spacing w:line="560" w:lineRule="exact"/>
        <w:ind w:firstLine="640" w:firstLineChars="200"/>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3</w:t>
      </w:r>
      <w:r>
        <w:rPr>
          <w:rFonts w:ascii="仿宋_GB2312" w:eastAsia="仿宋_GB2312"/>
          <w:color w:val="auto"/>
          <w:sz w:val="32"/>
          <w:szCs w:val="32"/>
          <w:highlight w:val="none"/>
        </w:rPr>
        <w:t>.</w:t>
      </w:r>
      <w:r>
        <w:rPr>
          <w:rFonts w:hint="eastAsia" w:ascii="仿宋_GB2312" w:eastAsia="仿宋_GB2312"/>
          <w:color w:val="auto"/>
          <w:sz w:val="32"/>
          <w:szCs w:val="32"/>
          <w:highlight w:val="none"/>
        </w:rPr>
        <w:t>其他收入：指单位取得的除上述收入以外的各项收入。主要是</w:t>
      </w:r>
      <w:r>
        <w:rPr>
          <w:rFonts w:hint="eastAsia" w:ascii="仿宋_GB2312" w:eastAsia="仿宋_GB2312"/>
          <w:color w:val="auto"/>
          <w:sz w:val="32"/>
          <w:szCs w:val="32"/>
          <w:highlight w:val="none"/>
          <w:lang w:eastAsia="zh-CN"/>
        </w:rPr>
        <w:t>停车场收入、食堂承包收入、利息收入</w:t>
      </w:r>
      <w:r>
        <w:rPr>
          <w:rFonts w:hint="eastAsia" w:ascii="仿宋_GB2312" w:eastAsia="仿宋_GB2312"/>
          <w:color w:val="auto"/>
          <w:sz w:val="32"/>
          <w:szCs w:val="32"/>
          <w:highlight w:val="none"/>
        </w:rPr>
        <w:t>等。</w:t>
      </w:r>
      <w:r>
        <w:rPr>
          <w:rFonts w:ascii="仿宋_GB2312" w:eastAsia="仿宋_GB2312"/>
          <w:color w:val="auto"/>
          <w:sz w:val="32"/>
          <w:szCs w:val="32"/>
          <w:highlight w:val="none"/>
        </w:rPr>
        <w:t xml:space="preserve"> </w:t>
      </w:r>
    </w:p>
    <w:p>
      <w:pPr>
        <w:pStyle w:val="24"/>
        <w:spacing w:line="560" w:lineRule="exact"/>
        <w:ind w:firstLine="640" w:firstLineChars="200"/>
        <w:rPr>
          <w:rFonts w:ascii="仿宋_GB2312" w:eastAsia="仿宋_GB2312"/>
          <w:color w:val="auto"/>
          <w:sz w:val="32"/>
          <w:szCs w:val="32"/>
          <w:highlight w:val="none"/>
        </w:rPr>
      </w:pPr>
      <w:r>
        <w:rPr>
          <w:rFonts w:hint="eastAsia" w:ascii="仿宋_GB2312" w:eastAsia="仿宋_GB2312"/>
          <w:color w:val="auto"/>
          <w:sz w:val="32"/>
          <w:szCs w:val="32"/>
          <w:highlight w:val="none"/>
          <w:lang w:val="en-US" w:eastAsia="zh-CN"/>
        </w:rPr>
        <w:t>4</w:t>
      </w:r>
      <w:r>
        <w:rPr>
          <w:rFonts w:ascii="仿宋_GB2312" w:eastAsia="仿宋_GB2312"/>
          <w:color w:val="auto"/>
          <w:sz w:val="32"/>
          <w:szCs w:val="32"/>
          <w:highlight w:val="none"/>
        </w:rPr>
        <w:t>.</w:t>
      </w:r>
      <w:r>
        <w:rPr>
          <w:rFonts w:hint="eastAsia" w:ascii="仿宋_GB2312" w:eastAsia="仿宋_GB2312"/>
          <w:color w:val="auto"/>
          <w:sz w:val="32"/>
          <w:szCs w:val="32"/>
          <w:highlight w:val="none"/>
          <w:lang w:eastAsia="zh-CN"/>
        </w:rPr>
        <w:t>使用非财政拨款结余</w:t>
      </w:r>
      <w:r>
        <w:rPr>
          <w:rFonts w:hint="eastAsia" w:ascii="仿宋_GB2312" w:eastAsia="仿宋_GB2312"/>
          <w:color w:val="auto"/>
          <w:sz w:val="32"/>
          <w:szCs w:val="32"/>
          <w:highlight w:val="none"/>
        </w:rPr>
        <w:t>：指事业单位</w:t>
      </w:r>
      <w:r>
        <w:rPr>
          <w:rFonts w:hint="eastAsia" w:ascii="仿宋_GB2312" w:eastAsia="仿宋_GB2312"/>
          <w:color w:val="auto"/>
          <w:sz w:val="32"/>
          <w:szCs w:val="32"/>
          <w:highlight w:val="none"/>
          <w:lang w:eastAsia="zh-CN"/>
        </w:rPr>
        <w:t>使用以前年度积累的非财政拨款结余弥补当年收支差额的金额。</w:t>
      </w:r>
      <w:r>
        <w:rPr>
          <w:rFonts w:ascii="仿宋_GB2312" w:eastAsia="仿宋_GB2312"/>
          <w:color w:val="auto"/>
          <w:sz w:val="32"/>
          <w:szCs w:val="32"/>
          <w:highlight w:val="none"/>
        </w:rPr>
        <w:t xml:space="preserve"> </w:t>
      </w:r>
    </w:p>
    <w:p>
      <w:pPr>
        <w:pStyle w:val="24"/>
        <w:spacing w:line="560" w:lineRule="exact"/>
        <w:ind w:firstLine="640" w:firstLineChars="200"/>
        <w:jc w:val="both"/>
        <w:rPr>
          <w:rFonts w:ascii="仿宋_GB2312" w:eastAsia="仿宋_GB2312"/>
          <w:color w:val="auto"/>
          <w:sz w:val="32"/>
          <w:szCs w:val="32"/>
          <w:highlight w:val="none"/>
        </w:rPr>
      </w:pPr>
      <w:r>
        <w:rPr>
          <w:rFonts w:ascii="仿宋_GB2312" w:eastAsia="仿宋_GB2312"/>
          <w:sz w:val="32"/>
          <w:szCs w:val="32"/>
          <w:highlight w:val="none"/>
        </w:rPr>
        <w:t>5.</w:t>
      </w:r>
      <w:r>
        <w:rPr>
          <w:rFonts w:hint="eastAsia" w:ascii="仿宋_GB2312" w:eastAsia="仿宋_GB2312"/>
          <w:sz w:val="32"/>
          <w:szCs w:val="32"/>
          <w:highlight w:val="none"/>
        </w:rPr>
        <w:t>用事业基金弥补收支差额：指事业单位在当年的财政拨款收入、事业收入、经营收入、其他收入不足以安排当年支出的情况下，使用以前年度积累的事业基金（事业单位当年收支相抵后按国家规定提取、用于弥补以后年度收支差额的基金）弥补本年度收支缺口的资金。</w:t>
      </w:r>
      <w:r>
        <w:rPr>
          <w:rFonts w:ascii="仿宋_GB2312" w:eastAsia="仿宋_GB2312"/>
          <w:sz w:val="32"/>
          <w:szCs w:val="32"/>
          <w:highlight w:val="none"/>
        </w:rPr>
        <w:t xml:space="preserve"> </w:t>
      </w:r>
    </w:p>
    <w:p>
      <w:pPr>
        <w:pStyle w:val="24"/>
        <w:spacing w:line="560" w:lineRule="exact"/>
        <w:ind w:firstLine="640" w:firstLineChars="200"/>
        <w:rPr>
          <w:rFonts w:ascii="仿宋_GB2312" w:eastAsia="仿宋_GB2312"/>
          <w:color w:val="auto"/>
          <w:sz w:val="32"/>
          <w:szCs w:val="32"/>
          <w:highlight w:val="none"/>
        </w:rPr>
      </w:pPr>
      <w:r>
        <w:rPr>
          <w:rFonts w:ascii="仿宋_GB2312" w:eastAsia="仿宋_GB2312"/>
          <w:color w:val="auto"/>
          <w:sz w:val="32"/>
          <w:szCs w:val="32"/>
          <w:highlight w:val="none"/>
        </w:rPr>
        <w:t>6.</w:t>
      </w:r>
      <w:r>
        <w:rPr>
          <w:rFonts w:hint="eastAsia" w:ascii="仿宋_GB2312" w:eastAsia="仿宋_GB2312"/>
          <w:color w:val="auto"/>
          <w:sz w:val="32"/>
          <w:szCs w:val="32"/>
          <w:highlight w:val="none"/>
        </w:rPr>
        <w:t>年初结转和结余：指以前年度尚未完成、结转到本年按有关规定继续使用的资金。</w:t>
      </w:r>
      <w:r>
        <w:rPr>
          <w:rFonts w:ascii="仿宋_GB2312" w:eastAsia="仿宋_GB2312"/>
          <w:color w:val="auto"/>
          <w:sz w:val="32"/>
          <w:szCs w:val="32"/>
          <w:highlight w:val="none"/>
        </w:rPr>
        <w:t xml:space="preserve"> </w:t>
      </w:r>
    </w:p>
    <w:p>
      <w:pPr>
        <w:pStyle w:val="24"/>
        <w:spacing w:line="560" w:lineRule="exact"/>
        <w:ind w:firstLine="640" w:firstLineChars="200"/>
        <w:rPr>
          <w:rFonts w:ascii="仿宋_GB2312" w:eastAsia="仿宋_GB2312"/>
          <w:color w:val="auto"/>
          <w:sz w:val="32"/>
          <w:szCs w:val="32"/>
          <w:highlight w:val="none"/>
        </w:rPr>
      </w:pPr>
      <w:r>
        <w:rPr>
          <w:rFonts w:ascii="仿宋_GB2312" w:eastAsia="仿宋_GB2312"/>
          <w:color w:val="auto"/>
          <w:sz w:val="32"/>
          <w:szCs w:val="32"/>
          <w:highlight w:val="none"/>
        </w:rPr>
        <w:t>7.</w:t>
      </w:r>
      <w:r>
        <w:rPr>
          <w:rFonts w:hint="eastAsia" w:ascii="仿宋_GB2312" w:eastAsia="仿宋_GB2312"/>
          <w:color w:val="auto"/>
          <w:sz w:val="32"/>
          <w:szCs w:val="32"/>
          <w:highlight w:val="none"/>
        </w:rPr>
        <w:t>结余分配：指事业单位按照会计制度规定</w:t>
      </w:r>
      <w:r>
        <w:rPr>
          <w:rFonts w:hint="eastAsia" w:ascii="仿宋_GB2312" w:eastAsia="仿宋_GB2312"/>
          <w:color w:val="auto"/>
          <w:sz w:val="32"/>
          <w:szCs w:val="32"/>
          <w:highlight w:val="none"/>
          <w:lang w:eastAsia="zh-CN"/>
        </w:rPr>
        <w:t>缴纳的所得税、提取的专用结余以及转入非财政拨款结余的金额</w:t>
      </w:r>
      <w:r>
        <w:rPr>
          <w:rFonts w:hint="eastAsia" w:ascii="仿宋_GB2312" w:eastAsia="仿宋_GB2312"/>
          <w:color w:val="auto"/>
          <w:sz w:val="32"/>
          <w:szCs w:val="32"/>
          <w:highlight w:val="none"/>
        </w:rPr>
        <w:t>等。</w:t>
      </w:r>
    </w:p>
    <w:p>
      <w:pPr>
        <w:pStyle w:val="24"/>
        <w:spacing w:line="560" w:lineRule="exact"/>
        <w:ind w:firstLine="640" w:firstLineChars="200"/>
        <w:rPr>
          <w:rFonts w:hint="eastAsia" w:ascii="仿宋_GB2312" w:eastAsia="仿宋_GB2312"/>
          <w:color w:val="auto"/>
          <w:sz w:val="32"/>
          <w:szCs w:val="32"/>
          <w:highlight w:val="none"/>
        </w:rPr>
      </w:pPr>
      <w:r>
        <w:rPr>
          <w:rFonts w:ascii="仿宋_GB2312" w:eastAsia="仿宋_GB2312"/>
          <w:color w:val="auto"/>
          <w:sz w:val="32"/>
          <w:szCs w:val="32"/>
          <w:highlight w:val="none"/>
        </w:rPr>
        <w:t>8</w:t>
      </w:r>
      <w:r>
        <w:rPr>
          <w:rFonts w:hint="eastAsia" w:ascii="仿宋_GB2312" w:eastAsia="仿宋_GB2312"/>
          <w:color w:val="auto"/>
          <w:sz w:val="32"/>
          <w:szCs w:val="32"/>
          <w:highlight w:val="none"/>
          <w:lang w:val="en-US" w:eastAsia="zh-CN"/>
        </w:rPr>
        <w:t>.</w:t>
      </w:r>
      <w:r>
        <w:rPr>
          <w:rFonts w:hint="eastAsia" w:ascii="仿宋_GB2312" w:eastAsia="仿宋_GB2312"/>
          <w:color w:val="auto"/>
          <w:sz w:val="32"/>
          <w:szCs w:val="32"/>
          <w:highlight w:val="none"/>
        </w:rPr>
        <w:t>年末结转和结余：指单位按有关规定结转到下年或以后年度继续使用的资金。</w:t>
      </w:r>
    </w:p>
    <w:p>
      <w:pPr>
        <w:spacing w:line="560" w:lineRule="exact"/>
        <w:ind w:firstLine="640" w:firstLineChars="200"/>
        <w:rPr>
          <w:rFonts w:hint="eastAsia" w:ascii="仿宋_GB2312" w:eastAsia="仿宋_GB2312"/>
          <w:color w:val="000000"/>
          <w:sz w:val="32"/>
          <w:szCs w:val="32"/>
          <w:highlight w:val="none"/>
        </w:rPr>
      </w:pPr>
      <w:r>
        <w:rPr>
          <w:rFonts w:hint="eastAsia" w:ascii="仿宋_GB2312" w:eastAsia="仿宋_GB2312"/>
          <w:color w:val="000000"/>
          <w:sz w:val="32"/>
          <w:szCs w:val="32"/>
          <w:highlight w:val="none"/>
          <w:lang w:val="en-US" w:eastAsia="zh-CN"/>
        </w:rPr>
        <w:t>9</w:t>
      </w:r>
      <w:r>
        <w:rPr>
          <w:rFonts w:ascii="仿宋_GB2312" w:eastAsia="仿宋_GB2312"/>
          <w:color w:val="000000"/>
          <w:sz w:val="32"/>
          <w:szCs w:val="32"/>
          <w:highlight w:val="none"/>
        </w:rPr>
        <w:t>.</w:t>
      </w:r>
      <w:r>
        <w:rPr>
          <w:rFonts w:hint="eastAsia" w:ascii="仿宋_GB2312" w:eastAsia="仿宋_GB2312"/>
          <w:color w:val="000000"/>
          <w:sz w:val="32"/>
          <w:szCs w:val="32"/>
          <w:highlight w:val="none"/>
        </w:rPr>
        <w:t>社会保障和就业（类）行政事业单位离退休（款）机关事业单位基本养老保险缴费（项）</w:t>
      </w:r>
      <w:r>
        <w:rPr>
          <w:rFonts w:ascii="仿宋_GB2312" w:eastAsia="仿宋_GB2312"/>
          <w:color w:val="000000"/>
          <w:sz w:val="32"/>
          <w:szCs w:val="32"/>
          <w:highlight w:val="none"/>
        </w:rPr>
        <w:t xml:space="preserve">: </w:t>
      </w:r>
      <w:r>
        <w:rPr>
          <w:rFonts w:hint="eastAsia" w:ascii="仿宋_GB2312" w:eastAsia="仿宋_GB2312"/>
          <w:color w:val="000000"/>
          <w:sz w:val="32"/>
          <w:szCs w:val="32"/>
          <w:highlight w:val="none"/>
        </w:rPr>
        <w:t>指单位对职工的基本养老保险缴费支出。</w:t>
      </w:r>
    </w:p>
    <w:p>
      <w:pPr>
        <w:spacing w:line="560" w:lineRule="exact"/>
        <w:ind w:firstLine="640" w:firstLineChars="200"/>
        <w:rPr>
          <w:rFonts w:hint="eastAsia" w:ascii="仿宋_GB2312" w:eastAsia="仿宋_GB2312"/>
          <w:color w:val="000000"/>
          <w:sz w:val="32"/>
          <w:szCs w:val="32"/>
          <w:highlight w:val="none"/>
        </w:rPr>
      </w:pPr>
      <w:r>
        <w:rPr>
          <w:rFonts w:hint="eastAsia" w:ascii="仿宋_GB2312" w:eastAsia="仿宋_GB2312"/>
          <w:color w:val="000000"/>
          <w:sz w:val="32"/>
          <w:szCs w:val="32"/>
          <w:highlight w:val="none"/>
        </w:rPr>
        <w:t>1</w:t>
      </w:r>
      <w:r>
        <w:rPr>
          <w:rFonts w:hint="eastAsia" w:ascii="仿宋_GB2312" w:eastAsia="仿宋_GB2312"/>
          <w:color w:val="000000"/>
          <w:sz w:val="32"/>
          <w:szCs w:val="32"/>
          <w:highlight w:val="none"/>
          <w:lang w:val="en-US" w:eastAsia="zh-CN"/>
        </w:rPr>
        <w:t>0</w:t>
      </w:r>
      <w:r>
        <w:rPr>
          <w:rFonts w:hint="eastAsia" w:ascii="仿宋_GB2312" w:eastAsia="仿宋_GB2312"/>
          <w:color w:val="000000"/>
          <w:sz w:val="32"/>
          <w:szCs w:val="32"/>
          <w:highlight w:val="none"/>
        </w:rPr>
        <w:t>.社会保障和就业（类）行政事业单位离退休（款）其他行政事业单位离退休支出（项）: 指单位对职工的其他行政事业单位离退休方面的支出。</w:t>
      </w:r>
    </w:p>
    <w:p>
      <w:pPr>
        <w:pStyle w:val="24"/>
        <w:spacing w:line="560" w:lineRule="exact"/>
        <w:ind w:firstLine="640" w:firstLineChars="200"/>
        <w:rPr>
          <w:rFonts w:hint="eastAsia" w:ascii="仿宋_GB2312" w:eastAsia="仿宋_GB2312"/>
          <w:sz w:val="32"/>
          <w:szCs w:val="32"/>
          <w:highlight w:val="none"/>
          <w:lang w:eastAsia="zh-CN"/>
        </w:rPr>
      </w:pPr>
      <w:r>
        <w:rPr>
          <w:rFonts w:hint="eastAsia" w:ascii="仿宋_GB2312" w:eastAsia="仿宋_GB2312"/>
          <w:sz w:val="32"/>
          <w:szCs w:val="32"/>
          <w:highlight w:val="none"/>
          <w:lang w:val="en-US" w:eastAsia="zh-CN"/>
        </w:rPr>
        <w:t>11</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卫生健康</w:t>
      </w:r>
      <w:r>
        <w:rPr>
          <w:rFonts w:hint="eastAsia" w:ascii="仿宋_GB2312" w:eastAsia="仿宋_GB2312"/>
          <w:sz w:val="32"/>
          <w:szCs w:val="32"/>
          <w:highlight w:val="none"/>
        </w:rPr>
        <w:t>（类）</w:t>
      </w:r>
      <w:r>
        <w:rPr>
          <w:rFonts w:hint="eastAsia" w:ascii="仿宋_GB2312" w:eastAsia="仿宋_GB2312"/>
          <w:sz w:val="32"/>
          <w:szCs w:val="32"/>
          <w:highlight w:val="none"/>
          <w:lang w:eastAsia="zh-CN"/>
        </w:rPr>
        <w:t>公共卫生</w:t>
      </w:r>
      <w:r>
        <w:rPr>
          <w:rFonts w:hint="eastAsia" w:ascii="仿宋_GB2312" w:eastAsia="仿宋_GB2312"/>
          <w:sz w:val="32"/>
          <w:szCs w:val="32"/>
          <w:highlight w:val="none"/>
        </w:rPr>
        <w:t>（款）</w:t>
      </w:r>
      <w:r>
        <w:rPr>
          <w:rFonts w:hint="eastAsia" w:ascii="仿宋_GB2312" w:eastAsia="仿宋_GB2312"/>
          <w:sz w:val="32"/>
          <w:szCs w:val="32"/>
          <w:highlight w:val="none"/>
          <w:lang w:eastAsia="zh-CN"/>
        </w:rPr>
        <w:t>基本公共卫生服务</w:t>
      </w:r>
      <w:r>
        <w:rPr>
          <w:rFonts w:hint="eastAsia" w:ascii="仿宋_GB2312" w:eastAsia="仿宋_GB2312"/>
          <w:sz w:val="32"/>
          <w:szCs w:val="32"/>
          <w:highlight w:val="none"/>
        </w:rPr>
        <w:t>（项）:</w:t>
      </w:r>
      <w:r>
        <w:rPr>
          <w:rFonts w:hint="eastAsia" w:ascii="仿宋_GB2312" w:eastAsia="仿宋_GB2312"/>
          <w:sz w:val="32"/>
          <w:szCs w:val="32"/>
          <w:highlight w:val="none"/>
          <w:lang w:eastAsia="zh-CN"/>
        </w:rPr>
        <w:t>指公立医院基本公共卫生服务的运行。</w:t>
      </w:r>
    </w:p>
    <w:p>
      <w:pPr>
        <w:pStyle w:val="24"/>
        <w:spacing w:line="560" w:lineRule="exact"/>
        <w:ind w:firstLine="640" w:firstLineChars="200"/>
        <w:rPr>
          <w:rFonts w:hint="eastAsia" w:ascii="仿宋_GB2312" w:eastAsia="仿宋_GB2312"/>
          <w:sz w:val="32"/>
          <w:szCs w:val="32"/>
          <w:highlight w:val="none"/>
          <w:lang w:val="en-US" w:eastAsia="zh-CN"/>
        </w:rPr>
      </w:pPr>
      <w:r>
        <w:rPr>
          <w:rFonts w:hint="eastAsia" w:ascii="仿宋_GB2312" w:eastAsia="仿宋_GB2312"/>
          <w:sz w:val="32"/>
          <w:szCs w:val="32"/>
          <w:highlight w:val="none"/>
          <w:lang w:val="en-US" w:eastAsia="zh-CN"/>
        </w:rPr>
        <w:t>12</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卫生健康</w:t>
      </w:r>
      <w:r>
        <w:rPr>
          <w:rFonts w:hint="eastAsia" w:ascii="仿宋_GB2312" w:eastAsia="仿宋_GB2312"/>
          <w:sz w:val="32"/>
          <w:szCs w:val="32"/>
          <w:highlight w:val="none"/>
        </w:rPr>
        <w:t>（类）</w:t>
      </w:r>
      <w:r>
        <w:rPr>
          <w:rFonts w:hint="eastAsia" w:ascii="仿宋_GB2312" w:eastAsia="仿宋_GB2312"/>
          <w:sz w:val="32"/>
          <w:szCs w:val="32"/>
          <w:highlight w:val="none"/>
          <w:lang w:eastAsia="zh-CN"/>
        </w:rPr>
        <w:t>公共卫生</w:t>
      </w:r>
      <w:r>
        <w:rPr>
          <w:rFonts w:hint="eastAsia" w:ascii="仿宋_GB2312" w:eastAsia="仿宋_GB2312"/>
          <w:sz w:val="32"/>
          <w:szCs w:val="32"/>
          <w:highlight w:val="none"/>
        </w:rPr>
        <w:t>（款）</w:t>
      </w:r>
      <w:r>
        <w:rPr>
          <w:rFonts w:hint="eastAsia" w:ascii="仿宋_GB2312" w:eastAsia="仿宋_GB2312"/>
          <w:sz w:val="32"/>
          <w:szCs w:val="32"/>
          <w:highlight w:val="none"/>
          <w:lang w:eastAsia="zh-CN"/>
        </w:rPr>
        <w:t>重大卫生专项</w:t>
      </w:r>
      <w:r>
        <w:rPr>
          <w:rFonts w:hint="eastAsia" w:ascii="仿宋_GB2312" w:eastAsia="仿宋_GB2312"/>
          <w:sz w:val="32"/>
          <w:szCs w:val="32"/>
          <w:highlight w:val="none"/>
        </w:rPr>
        <w:t>（项）:</w:t>
      </w:r>
      <w:r>
        <w:rPr>
          <w:rFonts w:hint="eastAsia" w:ascii="仿宋_GB2312" w:eastAsia="仿宋_GB2312"/>
          <w:sz w:val="32"/>
          <w:szCs w:val="32"/>
          <w:highlight w:val="none"/>
          <w:lang w:val="en-US" w:eastAsia="zh-CN"/>
        </w:rPr>
        <w:t>指反映重大疾病预防控制等重大公共卫生服务项目。如艾滋病乙肝梅毒三病阻断防治等重大公共卫生经费等。</w:t>
      </w:r>
    </w:p>
    <w:p>
      <w:pPr>
        <w:spacing w:line="560" w:lineRule="exact"/>
        <w:ind w:firstLine="640" w:firstLineChars="200"/>
        <w:rPr>
          <w:rFonts w:hint="eastAsia" w:ascii="仿宋_GB2312" w:eastAsia="仿宋_GB2312"/>
          <w:color w:val="000000"/>
          <w:sz w:val="32"/>
          <w:szCs w:val="32"/>
          <w:highlight w:val="none"/>
        </w:rPr>
      </w:pPr>
      <w:r>
        <w:rPr>
          <w:rFonts w:hint="eastAsia" w:ascii="仿宋_GB2312" w:eastAsia="仿宋_GB2312"/>
          <w:sz w:val="32"/>
          <w:szCs w:val="32"/>
          <w:highlight w:val="none"/>
          <w:lang w:val="en-US" w:eastAsia="zh-CN"/>
        </w:rPr>
        <w:t>13</w:t>
      </w:r>
      <w:r>
        <w:rPr>
          <w:rFonts w:hint="eastAsia" w:ascii="仿宋_GB2312" w:eastAsia="仿宋_GB2312"/>
          <w:sz w:val="32"/>
          <w:szCs w:val="32"/>
          <w:highlight w:val="none"/>
        </w:rPr>
        <w:t>.</w:t>
      </w:r>
      <w:r>
        <w:rPr>
          <w:rFonts w:hint="eastAsia" w:ascii="仿宋_GB2312" w:eastAsia="仿宋_GB2312"/>
          <w:sz w:val="32"/>
          <w:szCs w:val="32"/>
          <w:highlight w:val="none"/>
          <w:lang w:eastAsia="zh-CN"/>
        </w:rPr>
        <w:t>卫生健康</w:t>
      </w:r>
      <w:r>
        <w:rPr>
          <w:rFonts w:hint="eastAsia" w:ascii="仿宋_GB2312" w:eastAsia="仿宋_GB2312"/>
          <w:sz w:val="32"/>
          <w:szCs w:val="32"/>
          <w:highlight w:val="none"/>
        </w:rPr>
        <w:t>（类）</w:t>
      </w:r>
      <w:r>
        <w:rPr>
          <w:rFonts w:hint="eastAsia" w:ascii="仿宋_GB2312" w:eastAsia="仿宋_GB2312"/>
          <w:sz w:val="32"/>
          <w:szCs w:val="32"/>
          <w:highlight w:val="none"/>
          <w:lang w:eastAsia="zh-CN"/>
        </w:rPr>
        <w:t>其他卫生健康支出</w:t>
      </w:r>
      <w:r>
        <w:rPr>
          <w:rFonts w:hint="eastAsia" w:ascii="仿宋_GB2312" w:eastAsia="仿宋_GB2312"/>
          <w:sz w:val="32"/>
          <w:szCs w:val="32"/>
          <w:highlight w:val="none"/>
        </w:rPr>
        <w:t>（款）</w:t>
      </w:r>
      <w:r>
        <w:rPr>
          <w:rFonts w:hint="eastAsia" w:ascii="仿宋_GB2312" w:eastAsia="仿宋_GB2312"/>
          <w:sz w:val="32"/>
          <w:szCs w:val="32"/>
          <w:highlight w:val="none"/>
          <w:lang w:eastAsia="zh-CN"/>
        </w:rPr>
        <w:t>其他卫生健康支出</w:t>
      </w:r>
      <w:r>
        <w:rPr>
          <w:rFonts w:hint="eastAsia" w:ascii="仿宋_GB2312" w:eastAsia="仿宋_GB2312"/>
          <w:sz w:val="32"/>
          <w:szCs w:val="32"/>
          <w:highlight w:val="none"/>
        </w:rPr>
        <w:t>（项）:</w:t>
      </w:r>
      <w:r>
        <w:rPr>
          <w:rFonts w:hint="eastAsia" w:ascii="仿宋_GB2312" w:eastAsia="仿宋_GB2312"/>
          <w:sz w:val="32"/>
          <w:szCs w:val="32"/>
          <w:highlight w:val="none"/>
          <w:lang w:eastAsia="zh-CN"/>
        </w:rPr>
        <w:t>反映其他用于公共卫生方面支出。</w:t>
      </w:r>
    </w:p>
    <w:p>
      <w:pPr>
        <w:spacing w:line="560" w:lineRule="exact"/>
        <w:ind w:firstLine="640" w:firstLineChars="200"/>
        <w:rPr>
          <w:rFonts w:ascii="仿宋_GB2312" w:eastAsia="仿宋_GB2312"/>
          <w:color w:val="000000"/>
          <w:sz w:val="32"/>
          <w:szCs w:val="32"/>
          <w:highlight w:val="none"/>
        </w:rPr>
      </w:pPr>
      <w:r>
        <w:rPr>
          <w:rFonts w:hint="eastAsia" w:ascii="仿宋_GB2312" w:eastAsia="仿宋_GB2312"/>
          <w:color w:val="000000"/>
          <w:sz w:val="32"/>
          <w:szCs w:val="32"/>
          <w:highlight w:val="none"/>
        </w:rPr>
        <w:t>1</w:t>
      </w:r>
      <w:r>
        <w:rPr>
          <w:rFonts w:hint="eastAsia" w:ascii="仿宋_GB2312" w:eastAsia="仿宋_GB2312"/>
          <w:color w:val="000000"/>
          <w:sz w:val="32"/>
          <w:szCs w:val="32"/>
          <w:highlight w:val="none"/>
          <w:lang w:val="en-US" w:eastAsia="zh-CN"/>
        </w:rPr>
        <w:t>4</w:t>
      </w:r>
      <w:r>
        <w:rPr>
          <w:rFonts w:ascii="仿宋_GB2312" w:eastAsia="仿宋_GB2312"/>
          <w:color w:val="000000"/>
          <w:sz w:val="32"/>
          <w:szCs w:val="32"/>
          <w:highlight w:val="none"/>
        </w:rPr>
        <w:t>.</w:t>
      </w:r>
      <w:r>
        <w:rPr>
          <w:rFonts w:hint="eastAsia" w:ascii="仿宋_GB2312" w:eastAsia="仿宋_GB2312"/>
          <w:color w:val="000000"/>
          <w:sz w:val="32"/>
          <w:szCs w:val="32"/>
          <w:highlight w:val="none"/>
        </w:rPr>
        <w:t>卫生健康（类）公共卫生（款）</w:t>
      </w:r>
      <w:r>
        <w:rPr>
          <w:rFonts w:hint="eastAsia" w:ascii="仿宋_GB2312" w:eastAsia="仿宋_GB2312"/>
          <w:color w:val="000000"/>
          <w:sz w:val="32"/>
          <w:szCs w:val="32"/>
          <w:highlight w:val="none"/>
          <w:lang w:eastAsia="zh-CN"/>
        </w:rPr>
        <w:t>妇幼保健</w:t>
      </w:r>
      <w:r>
        <w:rPr>
          <w:rFonts w:hint="eastAsia" w:ascii="仿宋_GB2312" w:eastAsia="仿宋_GB2312"/>
          <w:color w:val="000000"/>
          <w:sz w:val="32"/>
          <w:szCs w:val="32"/>
          <w:highlight w:val="none"/>
        </w:rPr>
        <w:t>机构（项）</w:t>
      </w:r>
      <w:r>
        <w:rPr>
          <w:rFonts w:ascii="仿宋_GB2312" w:eastAsia="仿宋_GB2312"/>
          <w:color w:val="000000"/>
          <w:sz w:val="32"/>
          <w:szCs w:val="32"/>
          <w:highlight w:val="none"/>
        </w:rPr>
        <w:t>:</w:t>
      </w:r>
      <w:r>
        <w:rPr>
          <w:rFonts w:hint="eastAsia" w:ascii="仿宋_GB2312" w:eastAsia="仿宋_GB2312"/>
          <w:color w:val="000000"/>
          <w:sz w:val="32"/>
          <w:szCs w:val="32"/>
          <w:highlight w:val="none"/>
        </w:rPr>
        <w:t>指本单位保障机构正常运转的支出。</w:t>
      </w:r>
    </w:p>
    <w:p>
      <w:pPr>
        <w:spacing w:line="560" w:lineRule="exact"/>
        <w:ind w:firstLine="640" w:firstLineChars="200"/>
        <w:rPr>
          <w:rFonts w:ascii="仿宋_GB2312" w:eastAsia="仿宋_GB2312"/>
          <w:color w:val="000000"/>
          <w:sz w:val="32"/>
          <w:szCs w:val="32"/>
          <w:highlight w:val="none"/>
        </w:rPr>
      </w:pPr>
      <w:r>
        <w:rPr>
          <w:rFonts w:hint="eastAsia" w:ascii="仿宋_GB2312" w:eastAsia="仿宋_GB2312"/>
          <w:color w:val="000000"/>
          <w:sz w:val="32"/>
          <w:szCs w:val="32"/>
          <w:highlight w:val="none"/>
        </w:rPr>
        <w:t>1</w:t>
      </w:r>
      <w:r>
        <w:rPr>
          <w:rFonts w:hint="eastAsia" w:ascii="仿宋_GB2312" w:eastAsia="仿宋_GB2312"/>
          <w:color w:val="000000"/>
          <w:sz w:val="32"/>
          <w:szCs w:val="32"/>
          <w:highlight w:val="none"/>
          <w:lang w:val="en-US" w:eastAsia="zh-CN"/>
        </w:rPr>
        <w:t>5</w:t>
      </w:r>
      <w:r>
        <w:rPr>
          <w:rFonts w:ascii="仿宋_GB2312" w:eastAsia="仿宋_GB2312"/>
          <w:color w:val="000000"/>
          <w:sz w:val="32"/>
          <w:szCs w:val="32"/>
          <w:highlight w:val="none"/>
        </w:rPr>
        <w:t>.</w:t>
      </w:r>
      <w:r>
        <w:rPr>
          <w:rFonts w:hint="eastAsia" w:ascii="仿宋_GB2312" w:eastAsia="仿宋_GB2312"/>
          <w:color w:val="000000"/>
          <w:sz w:val="32"/>
          <w:szCs w:val="32"/>
          <w:highlight w:val="none"/>
        </w:rPr>
        <w:t>卫生健康（类）行政事业单位医疗（款）事业单位医疗（项）：指单位的基本医疗保险缴费经费、公费医疗经费和按国家规定享受离休人员待遇人员的医疗经费。</w:t>
      </w:r>
    </w:p>
    <w:p>
      <w:pPr>
        <w:spacing w:line="560" w:lineRule="exact"/>
        <w:ind w:firstLine="640" w:firstLineChars="200"/>
        <w:rPr>
          <w:rFonts w:ascii="仿宋_GB2312" w:eastAsia="仿宋_GB2312"/>
          <w:color w:val="000000"/>
          <w:sz w:val="32"/>
          <w:szCs w:val="32"/>
          <w:highlight w:val="none"/>
        </w:rPr>
      </w:pPr>
      <w:r>
        <w:rPr>
          <w:rFonts w:hint="eastAsia" w:ascii="仿宋_GB2312" w:eastAsia="仿宋_GB2312"/>
          <w:color w:val="000000"/>
          <w:sz w:val="32"/>
          <w:szCs w:val="32"/>
          <w:highlight w:val="none"/>
        </w:rPr>
        <w:t>1</w:t>
      </w:r>
      <w:r>
        <w:rPr>
          <w:rFonts w:hint="eastAsia" w:ascii="仿宋_GB2312" w:eastAsia="仿宋_GB2312"/>
          <w:color w:val="000000"/>
          <w:sz w:val="32"/>
          <w:szCs w:val="32"/>
          <w:highlight w:val="none"/>
          <w:lang w:val="en-US" w:eastAsia="zh-CN"/>
        </w:rPr>
        <w:t>6</w:t>
      </w:r>
      <w:r>
        <w:rPr>
          <w:rFonts w:ascii="仿宋_GB2312" w:eastAsia="仿宋_GB2312"/>
          <w:color w:val="000000"/>
          <w:sz w:val="32"/>
          <w:szCs w:val="32"/>
          <w:highlight w:val="none"/>
        </w:rPr>
        <w:t>.</w:t>
      </w:r>
      <w:r>
        <w:rPr>
          <w:rFonts w:hint="eastAsia" w:ascii="仿宋_GB2312" w:eastAsia="仿宋_GB2312"/>
          <w:color w:val="000000"/>
          <w:sz w:val="32"/>
          <w:szCs w:val="32"/>
          <w:highlight w:val="none"/>
        </w:rPr>
        <w:t>卫生健康（类）其他卫生健康支出（款）其他卫生健康支出（项）：指单位除基本公共卫生、重大公共卫生以外的其他专项。</w:t>
      </w:r>
    </w:p>
    <w:p>
      <w:pPr>
        <w:spacing w:line="560" w:lineRule="exact"/>
        <w:ind w:firstLine="640" w:firstLineChars="200"/>
        <w:rPr>
          <w:rFonts w:hint="eastAsia" w:ascii="仿宋_GB2312" w:eastAsia="仿宋_GB2312"/>
          <w:color w:val="auto"/>
          <w:sz w:val="32"/>
          <w:szCs w:val="32"/>
          <w:highlight w:val="none"/>
        </w:rPr>
      </w:pPr>
      <w:r>
        <w:rPr>
          <w:rFonts w:hint="eastAsia" w:ascii="仿宋_GB2312" w:eastAsia="仿宋_GB2312"/>
          <w:color w:val="000000"/>
          <w:sz w:val="32"/>
          <w:szCs w:val="32"/>
          <w:highlight w:val="none"/>
        </w:rPr>
        <w:t>1</w:t>
      </w:r>
      <w:r>
        <w:rPr>
          <w:rFonts w:hint="eastAsia" w:ascii="仿宋_GB2312" w:eastAsia="仿宋_GB2312"/>
          <w:color w:val="000000"/>
          <w:sz w:val="32"/>
          <w:szCs w:val="32"/>
          <w:highlight w:val="none"/>
          <w:lang w:val="en-US" w:eastAsia="zh-CN"/>
        </w:rPr>
        <w:t>7</w:t>
      </w:r>
      <w:r>
        <w:rPr>
          <w:rFonts w:ascii="仿宋_GB2312" w:eastAsia="仿宋_GB2312"/>
          <w:color w:val="000000"/>
          <w:sz w:val="32"/>
          <w:szCs w:val="32"/>
          <w:highlight w:val="none"/>
        </w:rPr>
        <w:t>.</w:t>
      </w:r>
      <w:r>
        <w:rPr>
          <w:rFonts w:hint="eastAsia" w:ascii="仿宋_GB2312" w:eastAsia="仿宋_GB2312"/>
          <w:color w:val="000000"/>
          <w:sz w:val="32"/>
          <w:szCs w:val="32"/>
          <w:highlight w:val="none"/>
        </w:rPr>
        <w:t>住房保障支出（类）住房改革支出（款）住房公积金（项）：指单位对职工的住房公积金缴费支出。</w:t>
      </w:r>
    </w:p>
    <w:p>
      <w:pPr>
        <w:ind w:firstLine="640" w:firstLineChars="200"/>
        <w:rPr>
          <w:rFonts w:ascii="仿宋_GB2312" w:eastAsia="仿宋_GB2312"/>
          <w:color w:val="000000"/>
          <w:sz w:val="32"/>
          <w:szCs w:val="32"/>
          <w:highlight w:val="none"/>
        </w:rPr>
      </w:pPr>
      <w:r>
        <w:rPr>
          <w:rFonts w:hint="eastAsia" w:ascii="仿宋_GB2312" w:eastAsia="仿宋_GB2312"/>
          <w:color w:val="000000"/>
          <w:sz w:val="32"/>
          <w:szCs w:val="32"/>
          <w:highlight w:val="none"/>
          <w:lang w:val="en-US" w:eastAsia="zh-CN"/>
        </w:rPr>
        <w:t>18</w:t>
      </w:r>
      <w:r>
        <w:rPr>
          <w:rFonts w:ascii="仿宋_GB2312" w:eastAsia="仿宋_GB2312"/>
          <w:color w:val="000000"/>
          <w:sz w:val="32"/>
          <w:szCs w:val="32"/>
          <w:highlight w:val="none"/>
        </w:rPr>
        <w:t>.</w:t>
      </w:r>
      <w:r>
        <w:rPr>
          <w:rFonts w:hint="eastAsia" w:ascii="仿宋_GB2312" w:eastAsia="仿宋_GB2312"/>
          <w:color w:val="000000"/>
          <w:sz w:val="32"/>
          <w:szCs w:val="32"/>
          <w:highlight w:val="none"/>
        </w:rPr>
        <w:t>基本支出：指为保障机构正常运转、完成日常工作任务而发生的人员支出和公用支出。</w:t>
      </w:r>
    </w:p>
    <w:p>
      <w:pPr>
        <w:ind w:firstLine="640" w:firstLineChars="200"/>
        <w:rPr>
          <w:rFonts w:ascii="仿宋_GB2312" w:eastAsia="仿宋_GB2312"/>
          <w:color w:val="000000"/>
          <w:sz w:val="32"/>
          <w:szCs w:val="32"/>
          <w:highlight w:val="none"/>
        </w:rPr>
      </w:pPr>
      <w:r>
        <w:rPr>
          <w:rFonts w:hint="eastAsia" w:ascii="仿宋_GB2312" w:eastAsia="仿宋_GB2312"/>
          <w:color w:val="000000"/>
          <w:sz w:val="32"/>
          <w:szCs w:val="32"/>
          <w:highlight w:val="none"/>
          <w:lang w:val="en-US" w:eastAsia="zh-CN"/>
        </w:rPr>
        <w:t>19</w:t>
      </w:r>
      <w:r>
        <w:rPr>
          <w:rFonts w:ascii="仿宋_GB2312" w:eastAsia="仿宋_GB2312"/>
          <w:color w:val="000000"/>
          <w:sz w:val="32"/>
          <w:szCs w:val="32"/>
          <w:highlight w:val="none"/>
        </w:rPr>
        <w:t>.</w:t>
      </w:r>
      <w:r>
        <w:rPr>
          <w:rFonts w:hint="eastAsia" w:ascii="仿宋_GB2312" w:eastAsia="仿宋_GB2312"/>
          <w:color w:val="000000"/>
          <w:sz w:val="32"/>
          <w:szCs w:val="32"/>
          <w:highlight w:val="none"/>
        </w:rPr>
        <w:t>项目支出：指在基本支出之外为完成特定行政任务和事业发展目标所发生的支出。</w:t>
      </w:r>
      <w:r>
        <w:rPr>
          <w:rFonts w:ascii="仿宋_GB2312" w:eastAsia="仿宋_GB2312"/>
          <w:color w:val="000000"/>
          <w:sz w:val="32"/>
          <w:szCs w:val="32"/>
          <w:highlight w:val="none"/>
        </w:rPr>
        <w:t xml:space="preserve"> </w:t>
      </w:r>
    </w:p>
    <w:p>
      <w:pPr>
        <w:pStyle w:val="24"/>
        <w:spacing w:line="560" w:lineRule="exact"/>
        <w:ind w:firstLine="640" w:firstLineChars="200"/>
        <w:rPr>
          <w:rFonts w:ascii="仿宋_GB2312" w:eastAsia="仿宋_GB2312"/>
          <w:sz w:val="32"/>
          <w:szCs w:val="32"/>
          <w:highlight w:val="none"/>
        </w:rPr>
      </w:pPr>
      <w:r>
        <w:rPr>
          <w:rFonts w:hint="eastAsia" w:ascii="仿宋_GB2312" w:eastAsia="仿宋_GB2312"/>
          <w:sz w:val="32"/>
          <w:szCs w:val="32"/>
          <w:highlight w:val="none"/>
          <w:lang w:val="en-US" w:eastAsia="zh-CN"/>
        </w:rPr>
        <w:t>20</w:t>
      </w:r>
      <w:r>
        <w:rPr>
          <w:rFonts w:ascii="仿宋_GB2312" w:eastAsia="仿宋_GB2312"/>
          <w:sz w:val="32"/>
          <w:szCs w:val="32"/>
          <w:highlight w:val="none"/>
        </w:rPr>
        <w:t>.</w:t>
      </w:r>
      <w:r>
        <w:rPr>
          <w:rFonts w:hint="eastAsia" w:ascii="仿宋_GB2312" w:eastAsia="仿宋_GB2312"/>
          <w:sz w:val="32"/>
          <w:szCs w:val="32"/>
          <w:highlight w:val="none"/>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pPr>
        <w:spacing w:line="600" w:lineRule="exact"/>
        <w:jc w:val="center"/>
        <w:outlineLvl w:val="0"/>
        <w:rPr>
          <w:rFonts w:hint="eastAsia" w:ascii="黑体" w:hAnsi="黑体" w:eastAsia="黑体"/>
          <w:color w:val="auto"/>
          <w:sz w:val="44"/>
          <w:szCs w:val="44"/>
          <w:highlight w:val="none"/>
        </w:rPr>
      </w:pPr>
      <w:bookmarkStart w:id="73" w:name="_Toc15396614"/>
      <w:bookmarkStart w:id="74" w:name="_Toc29883"/>
      <w:bookmarkStart w:id="75" w:name="_Toc15377226"/>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keepNext w:val="0"/>
        <w:keepLines w:val="0"/>
        <w:pageBreakBefore w:val="0"/>
        <w:kinsoku/>
        <w:wordWrap/>
        <w:overflowPunct/>
        <w:topLinePunct w:val="0"/>
        <w:autoSpaceDE/>
        <w:autoSpaceDN/>
        <w:bidi w:val="0"/>
        <w:adjustRightInd/>
        <w:snapToGrid/>
        <w:spacing w:line="240" w:lineRule="auto"/>
        <w:jc w:val="center"/>
        <w:outlineLvl w:val="0"/>
        <w:rPr>
          <w:rStyle w:val="26"/>
          <w:rFonts w:ascii="黑体" w:hAnsi="黑体" w:eastAsia="黑体"/>
          <w:b w:val="0"/>
          <w:color w:val="auto"/>
          <w:highlight w:val="none"/>
        </w:rPr>
      </w:pPr>
      <w:r>
        <w:rPr>
          <w:rFonts w:hint="eastAsia" w:ascii="黑体" w:hAnsi="黑体" w:eastAsia="黑体"/>
          <w:color w:val="auto"/>
          <w:sz w:val="44"/>
          <w:szCs w:val="44"/>
          <w:highlight w:val="none"/>
        </w:rPr>
        <w:t>第</w:t>
      </w:r>
      <w:r>
        <w:rPr>
          <w:rStyle w:val="26"/>
          <w:rFonts w:hint="eastAsia" w:ascii="黑体" w:hAnsi="黑体" w:eastAsia="黑体"/>
          <w:b w:val="0"/>
          <w:color w:val="auto"/>
          <w:highlight w:val="none"/>
        </w:rPr>
        <w:t>四部分 附件</w:t>
      </w:r>
      <w:bookmarkEnd w:id="73"/>
      <w:bookmarkEnd w:id="74"/>
    </w:p>
    <w:tbl>
      <w:tblPr>
        <w:tblStyle w:val="14"/>
        <w:tblpPr w:leftFromText="180" w:rightFromText="180" w:vertAnchor="text" w:horzAnchor="page" w:tblpX="595" w:tblpY="609"/>
        <w:tblOverlap w:val="never"/>
        <w:tblW w:w="1105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05"/>
        <w:gridCol w:w="420"/>
        <w:gridCol w:w="1006"/>
        <w:gridCol w:w="1005"/>
        <w:gridCol w:w="2294"/>
        <w:gridCol w:w="465"/>
        <w:gridCol w:w="510"/>
        <w:gridCol w:w="420"/>
        <w:gridCol w:w="855"/>
        <w:gridCol w:w="705"/>
        <w:gridCol w:w="645"/>
        <w:gridCol w:w="172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9" w:hRule="atLeast"/>
        </w:trPr>
        <w:tc>
          <w:tcPr>
            <w:tcW w:w="11055" w:type="dxa"/>
            <w:gridSpan w:val="1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ascii="黑体" w:hAnsi="宋体" w:eastAsia="黑体" w:cs="黑体"/>
                <w:b/>
                <w:bCs/>
                <w:i w:val="0"/>
                <w:iCs w:val="0"/>
                <w:color w:val="000000"/>
                <w:sz w:val="30"/>
                <w:szCs w:val="30"/>
                <w:u w:val="none"/>
              </w:rPr>
            </w:pPr>
            <w:bookmarkStart w:id="76" w:name="_Toc15396618"/>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7" w:hRule="atLeast"/>
        </w:trPr>
        <w:tc>
          <w:tcPr>
            <w:tcW w:w="2431"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62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51190021Y000000056098-公用经费（事业）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1" w:hRule="atLeast"/>
        </w:trPr>
        <w:tc>
          <w:tcPr>
            <w:tcW w:w="2431"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694"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855"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实施单位（盖章）</w:t>
            </w:r>
          </w:p>
        </w:tc>
        <w:tc>
          <w:tcPr>
            <w:tcW w:w="307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2" w:hRule="atLeast"/>
        </w:trPr>
        <w:tc>
          <w:tcPr>
            <w:tcW w:w="100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426"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694"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93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4"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26"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694"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保障单位日常运转，提高预算编制质量，严格执行预算</w:t>
            </w:r>
          </w:p>
        </w:tc>
        <w:tc>
          <w:tcPr>
            <w:tcW w:w="393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保障单位日常运转，提高预算编制质量，严格执行预算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36"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2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62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保障单位日常运转，提高预算编制质量，严格执行预算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3" w:hRule="atLeast"/>
        </w:trPr>
        <w:tc>
          <w:tcPr>
            <w:tcW w:w="100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42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22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39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7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6"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2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98.70</w:t>
            </w:r>
          </w:p>
        </w:tc>
        <w:tc>
          <w:tcPr>
            <w:tcW w:w="22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96.71</w:t>
            </w:r>
          </w:p>
        </w:tc>
        <w:tc>
          <w:tcPr>
            <w:tcW w:w="139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96.71</w:t>
            </w: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72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4"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2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98.70</w:t>
            </w:r>
          </w:p>
        </w:tc>
        <w:tc>
          <w:tcPr>
            <w:tcW w:w="22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96.71</w:t>
            </w:r>
          </w:p>
        </w:tc>
        <w:tc>
          <w:tcPr>
            <w:tcW w:w="139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96.71</w:t>
            </w: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72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4"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2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2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9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72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2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2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9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72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2"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2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22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39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72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8" w:hRule="atLeast"/>
        </w:trPr>
        <w:tc>
          <w:tcPr>
            <w:tcW w:w="100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42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22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7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9"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26"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22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科目调整次数</w:t>
            </w:r>
          </w:p>
        </w:tc>
        <w:tc>
          <w:tcPr>
            <w:tcW w:w="4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7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81"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26"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22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预算编制准确率（计算方法为：∣（执行数-预算数）/预算数∣）</w:t>
            </w:r>
          </w:p>
        </w:tc>
        <w:tc>
          <w:tcPr>
            <w:tcW w:w="4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7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26"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00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22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运转保障率</w:t>
            </w:r>
          </w:p>
        </w:tc>
        <w:tc>
          <w:tcPr>
            <w:tcW w:w="4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7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03"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26"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22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hint="eastAsia" w:ascii="宋体" w:hAnsi="宋体" w:cs="宋体"/>
                <w:i w:val="0"/>
                <w:iCs w:val="0"/>
                <w:color w:val="000000"/>
                <w:kern w:val="0"/>
                <w:sz w:val="18"/>
                <w:szCs w:val="18"/>
                <w:u w:val="none"/>
                <w:lang w:val="en-US" w:eastAsia="zh-CN" w:bidi="ar"/>
              </w:rPr>
              <w:t>“三公”经费</w:t>
            </w:r>
            <w:r>
              <w:rPr>
                <w:rFonts w:ascii="宋体" w:hAnsi="宋体" w:eastAsia="宋体" w:cs="宋体"/>
                <w:i w:val="0"/>
                <w:iCs w:val="0"/>
                <w:color w:val="000000"/>
                <w:kern w:val="0"/>
                <w:sz w:val="18"/>
                <w:szCs w:val="18"/>
                <w:u w:val="none"/>
                <w:lang w:val="en-US" w:eastAsia="zh-CN" w:bidi="ar"/>
              </w:rPr>
              <w:t>控制率[计算方法为：（三公经费实际支出数/预算安排数]×100%）</w:t>
            </w:r>
          </w:p>
        </w:tc>
        <w:tc>
          <w:tcPr>
            <w:tcW w:w="4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7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6" w:hRule="atLeast"/>
        </w:trPr>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142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899"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7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3" w:hRule="atLeast"/>
        </w:trPr>
        <w:tc>
          <w:tcPr>
            <w:tcW w:w="142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63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7" w:hRule="atLeast"/>
        </w:trPr>
        <w:tc>
          <w:tcPr>
            <w:tcW w:w="142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63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3" w:hRule="atLeast"/>
        </w:trPr>
        <w:tc>
          <w:tcPr>
            <w:tcW w:w="142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63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 w:hRule="atLeast"/>
        </w:trPr>
        <w:tc>
          <w:tcPr>
            <w:tcW w:w="6195"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项目负责人：杨帆</w:t>
            </w:r>
          </w:p>
        </w:tc>
        <w:tc>
          <w:tcPr>
            <w:tcW w:w="4860"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tbl>
      <w:tblPr>
        <w:tblStyle w:val="14"/>
        <w:tblW w:w="11055" w:type="dxa"/>
        <w:tblInd w:w="-120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77"/>
        <w:gridCol w:w="1383"/>
        <w:gridCol w:w="871"/>
        <w:gridCol w:w="1574"/>
        <w:gridCol w:w="600"/>
        <w:gridCol w:w="615"/>
        <w:gridCol w:w="885"/>
        <w:gridCol w:w="510"/>
        <w:gridCol w:w="690"/>
        <w:gridCol w:w="705"/>
        <w:gridCol w:w="21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11055"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246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59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51190021Y000000067674-公务用车运行维护费（事业）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8" w:hRule="atLeast"/>
        </w:trPr>
        <w:tc>
          <w:tcPr>
            <w:tcW w:w="246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366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885"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405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07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38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366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493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1" w:hRule="atLeast"/>
        </w:trPr>
        <w:tc>
          <w:tcPr>
            <w:tcW w:w="107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8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366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保障单位日常运转，提高预算编制质量，严格执行预算</w:t>
            </w:r>
          </w:p>
        </w:tc>
        <w:tc>
          <w:tcPr>
            <w:tcW w:w="493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保障单位日常运转，提高预算编制质量，严格执行预算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1" w:hRule="atLeast"/>
        </w:trPr>
        <w:tc>
          <w:tcPr>
            <w:tcW w:w="107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8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59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保障单位日常运转，提高预算编制质量，严格执行预算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107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38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8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2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285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07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8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8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15.60</w:t>
            </w:r>
          </w:p>
        </w:tc>
        <w:tc>
          <w:tcPr>
            <w:tcW w:w="1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15.60</w:t>
            </w:r>
          </w:p>
        </w:tc>
        <w:tc>
          <w:tcPr>
            <w:tcW w:w="12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15.60</w:t>
            </w:r>
          </w:p>
        </w:tc>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850"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107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8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8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15.60</w:t>
            </w:r>
          </w:p>
        </w:tc>
        <w:tc>
          <w:tcPr>
            <w:tcW w:w="1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15.60</w:t>
            </w:r>
          </w:p>
        </w:tc>
        <w:tc>
          <w:tcPr>
            <w:tcW w:w="12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15.60</w:t>
            </w:r>
          </w:p>
        </w:tc>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850"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107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8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8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850"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07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8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8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850"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07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8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8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2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850"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107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38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8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21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07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8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8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科目调整次数</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21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1" w:hRule="atLeast"/>
        </w:trPr>
        <w:tc>
          <w:tcPr>
            <w:tcW w:w="107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8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8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1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预算编制准确率（计算方法为：∣（执行数-预算数）/预算数∣）</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21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61" w:hRule="atLeast"/>
        </w:trPr>
        <w:tc>
          <w:tcPr>
            <w:tcW w:w="107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8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87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hint="eastAsia" w:ascii="宋体" w:hAnsi="宋体" w:cs="宋体"/>
                <w:i w:val="0"/>
                <w:iCs w:val="0"/>
                <w:color w:val="000000"/>
                <w:kern w:val="0"/>
                <w:sz w:val="18"/>
                <w:szCs w:val="18"/>
                <w:u w:val="none"/>
                <w:lang w:val="en-US" w:eastAsia="zh-CN" w:bidi="ar"/>
              </w:rPr>
              <w:t>“三公”经费</w:t>
            </w:r>
            <w:r>
              <w:rPr>
                <w:rFonts w:ascii="宋体" w:hAnsi="宋体" w:eastAsia="宋体" w:cs="宋体"/>
                <w:i w:val="0"/>
                <w:iCs w:val="0"/>
                <w:color w:val="000000"/>
                <w:kern w:val="0"/>
                <w:sz w:val="18"/>
                <w:szCs w:val="18"/>
                <w:u w:val="none"/>
                <w:lang w:val="en-US" w:eastAsia="zh-CN" w:bidi="ar"/>
              </w:rPr>
              <w:t>控制率[计算方法为：（三公经费实际支出数/预算安排数]×100%）</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21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07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8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8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运转保障率</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21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7005" w:type="dxa"/>
            <w:gridSpan w:val="7"/>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85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0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978"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0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978"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trPr>
        <w:tc>
          <w:tcPr>
            <w:tcW w:w="10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978"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0" w:hRule="atLeast"/>
        </w:trPr>
        <w:tc>
          <w:tcPr>
            <w:tcW w:w="550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项目负责人：李建国</w:t>
            </w:r>
          </w:p>
        </w:tc>
        <w:tc>
          <w:tcPr>
            <w:tcW w:w="5550"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tbl>
      <w:tblPr>
        <w:tblStyle w:val="14"/>
        <w:tblW w:w="11070" w:type="dxa"/>
        <w:tblInd w:w="-119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41"/>
        <w:gridCol w:w="1537"/>
        <w:gridCol w:w="1304"/>
        <w:gridCol w:w="1881"/>
        <w:gridCol w:w="483"/>
        <w:gridCol w:w="1014"/>
        <w:gridCol w:w="425"/>
        <w:gridCol w:w="1088"/>
        <w:gridCol w:w="576"/>
        <w:gridCol w:w="576"/>
        <w:gridCol w:w="10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0" w:hRule="atLeast"/>
        </w:trPr>
        <w:tc>
          <w:tcPr>
            <w:tcW w:w="1107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678"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392"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51190022R000004692824-工资性支出（事业）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2678"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107"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088"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19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4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53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107"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285"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4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53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107"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c>
          <w:tcPr>
            <w:tcW w:w="3285"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114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392"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4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53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8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2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0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0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4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336.38</w:t>
            </w:r>
          </w:p>
        </w:tc>
        <w:tc>
          <w:tcPr>
            <w:tcW w:w="18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373.42</w:t>
            </w:r>
          </w:p>
        </w:tc>
        <w:tc>
          <w:tcPr>
            <w:tcW w:w="192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373.41</w:t>
            </w:r>
          </w:p>
        </w:tc>
        <w:tc>
          <w:tcPr>
            <w:tcW w:w="10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04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4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336.38</w:t>
            </w:r>
          </w:p>
        </w:tc>
        <w:tc>
          <w:tcPr>
            <w:tcW w:w="18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373.42</w:t>
            </w:r>
          </w:p>
        </w:tc>
        <w:tc>
          <w:tcPr>
            <w:tcW w:w="192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373.41</w:t>
            </w:r>
          </w:p>
        </w:tc>
        <w:tc>
          <w:tcPr>
            <w:tcW w:w="10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4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2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4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2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114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2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14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53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8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8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1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0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0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4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3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304"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8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科目调整次数</w:t>
            </w:r>
          </w:p>
        </w:tc>
        <w:tc>
          <w:tcPr>
            <w:tcW w:w="48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4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10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0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4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3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8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足额保障率</w:t>
            </w:r>
          </w:p>
        </w:tc>
        <w:tc>
          <w:tcPr>
            <w:tcW w:w="48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0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4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3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8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按时发放率</w:t>
            </w:r>
          </w:p>
        </w:tc>
        <w:tc>
          <w:tcPr>
            <w:tcW w:w="48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0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114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3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30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8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结余率（计算方法为：结余数/预算数）</w:t>
            </w:r>
          </w:p>
        </w:tc>
        <w:tc>
          <w:tcPr>
            <w:tcW w:w="48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4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0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873"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0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929"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929"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929"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346"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项目负责人：张代胜</w:t>
            </w:r>
          </w:p>
        </w:tc>
        <w:tc>
          <w:tcPr>
            <w:tcW w:w="4724"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1005" w:type="dxa"/>
        <w:tblInd w:w="-122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0"/>
        <w:gridCol w:w="945"/>
        <w:gridCol w:w="45"/>
        <w:gridCol w:w="1230"/>
        <w:gridCol w:w="1155"/>
        <w:gridCol w:w="601"/>
        <w:gridCol w:w="1034"/>
        <w:gridCol w:w="630"/>
        <w:gridCol w:w="222"/>
        <w:gridCol w:w="485"/>
        <w:gridCol w:w="43"/>
        <w:gridCol w:w="570"/>
        <w:gridCol w:w="402"/>
        <w:gridCol w:w="425"/>
        <w:gridCol w:w="133"/>
        <w:gridCol w:w="951"/>
        <w:gridCol w:w="6"/>
        <w:gridCol w:w="570"/>
        <w:gridCol w:w="6"/>
        <w:gridCol w:w="576"/>
        <w:gridCol w:w="936"/>
        <w:gridCol w:w="1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633" w:hRule="atLeast"/>
        </w:trPr>
        <w:tc>
          <w:tcPr>
            <w:tcW w:w="10975" w:type="dxa"/>
            <w:gridSpan w:val="2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322" w:hRule="atLeast"/>
        </w:trPr>
        <w:tc>
          <w:tcPr>
            <w:tcW w:w="222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755" w:type="dxa"/>
            <w:gridSpan w:val="1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51190022R000004693426-基本养老保险（事业）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633" w:hRule="atLeast"/>
        </w:trPr>
        <w:tc>
          <w:tcPr>
            <w:tcW w:w="222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567"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090" w:type="dxa"/>
            <w:gridSpan w:val="3"/>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98"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322" w:hRule="atLeast"/>
        </w:trPr>
        <w:tc>
          <w:tcPr>
            <w:tcW w:w="94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275"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567"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188"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633"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275"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567"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c>
          <w:tcPr>
            <w:tcW w:w="3188"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944"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755" w:type="dxa"/>
            <w:gridSpan w:val="1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633" w:hRule="atLeast"/>
        </w:trPr>
        <w:tc>
          <w:tcPr>
            <w:tcW w:w="94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75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88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2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09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4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322"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75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53.82</w:t>
            </w:r>
          </w:p>
        </w:tc>
        <w:tc>
          <w:tcPr>
            <w:tcW w:w="188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53.82</w:t>
            </w:r>
          </w:p>
        </w:tc>
        <w:tc>
          <w:tcPr>
            <w:tcW w:w="192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53.82</w:t>
            </w:r>
          </w:p>
        </w:tc>
        <w:tc>
          <w:tcPr>
            <w:tcW w:w="109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46"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633"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75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53.82</w:t>
            </w:r>
          </w:p>
        </w:tc>
        <w:tc>
          <w:tcPr>
            <w:tcW w:w="188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53.82</w:t>
            </w:r>
          </w:p>
        </w:tc>
        <w:tc>
          <w:tcPr>
            <w:tcW w:w="192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53.82</w:t>
            </w:r>
          </w:p>
        </w:tc>
        <w:tc>
          <w:tcPr>
            <w:tcW w:w="109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6"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633"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75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2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6"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322"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75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2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6"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322"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75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8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2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9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6"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1255" w:hRule="atLeast"/>
        </w:trPr>
        <w:tc>
          <w:tcPr>
            <w:tcW w:w="94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75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88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1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09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4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322"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75"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756"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88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足额保障率</w:t>
            </w:r>
          </w:p>
        </w:tc>
        <w:tc>
          <w:tcPr>
            <w:tcW w:w="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94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322"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75"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56"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88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科目调整次数</w:t>
            </w:r>
          </w:p>
        </w:tc>
        <w:tc>
          <w:tcPr>
            <w:tcW w:w="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4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109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94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322"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75"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5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88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按时发放率</w:t>
            </w:r>
          </w:p>
        </w:tc>
        <w:tc>
          <w:tcPr>
            <w:tcW w:w="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94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633"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75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88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结余率（计算方法为：结余数/预算数）</w:t>
            </w:r>
          </w:p>
        </w:tc>
        <w:tc>
          <w:tcPr>
            <w:tcW w:w="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4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94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322" w:hRule="atLeast"/>
        </w:trPr>
        <w:tc>
          <w:tcPr>
            <w:tcW w:w="8877" w:type="dxa"/>
            <w:gridSpan w:val="1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94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322" w:hRule="atLeast"/>
        </w:trPr>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10030" w:type="dxa"/>
            <w:gridSpan w:val="2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322" w:hRule="atLeast"/>
        </w:trPr>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10030" w:type="dxa"/>
            <w:gridSpan w:val="2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322" w:hRule="atLeast"/>
        </w:trPr>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10030" w:type="dxa"/>
            <w:gridSpan w:val="2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Before w:val="1"/>
          <w:wBefore w:w="30" w:type="dxa"/>
          <w:trHeight w:val="332" w:hRule="atLeast"/>
        </w:trPr>
        <w:tc>
          <w:tcPr>
            <w:tcW w:w="6347"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项目负责人：张代胜</w:t>
            </w:r>
          </w:p>
        </w:tc>
        <w:tc>
          <w:tcPr>
            <w:tcW w:w="4628" w:type="dxa"/>
            <w:gridSpan w:val="1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642" w:hRule="atLeast"/>
        </w:trPr>
        <w:tc>
          <w:tcPr>
            <w:tcW w:w="10995" w:type="dxa"/>
            <w:gridSpan w:val="2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326" w:hRule="atLeast"/>
        </w:trPr>
        <w:tc>
          <w:tcPr>
            <w:tcW w:w="225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745" w:type="dxa"/>
            <w:gridSpan w:val="17"/>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51190022R000004693999-医疗保险（事业）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642" w:hRule="atLeast"/>
        </w:trPr>
        <w:tc>
          <w:tcPr>
            <w:tcW w:w="225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740"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960" w:type="dxa"/>
            <w:gridSpan w:val="3"/>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045"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326" w:hRule="atLeast"/>
        </w:trPr>
        <w:tc>
          <w:tcPr>
            <w:tcW w:w="1020" w:type="dxa"/>
            <w:gridSpan w:val="3"/>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23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740"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400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642" w:hRule="atLeast"/>
        </w:trPr>
        <w:tc>
          <w:tcPr>
            <w:tcW w:w="1020"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23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740"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c>
          <w:tcPr>
            <w:tcW w:w="400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958" w:hRule="atLeast"/>
        </w:trPr>
        <w:tc>
          <w:tcPr>
            <w:tcW w:w="1020"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745" w:type="dxa"/>
            <w:gridSpan w:val="17"/>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642" w:hRule="atLeast"/>
        </w:trPr>
        <w:tc>
          <w:tcPr>
            <w:tcW w:w="1020" w:type="dxa"/>
            <w:gridSpan w:val="3"/>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2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96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9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51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326" w:hRule="atLeast"/>
        </w:trPr>
        <w:tc>
          <w:tcPr>
            <w:tcW w:w="1020"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31.68</w:t>
            </w: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31.68</w:t>
            </w:r>
          </w:p>
        </w:tc>
        <w:tc>
          <w:tcPr>
            <w:tcW w:w="19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31.68</w:t>
            </w:r>
          </w:p>
        </w:tc>
        <w:tc>
          <w:tcPr>
            <w:tcW w:w="96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9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518" w:type="dxa"/>
            <w:gridSpan w:val="3"/>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642" w:hRule="atLeast"/>
        </w:trPr>
        <w:tc>
          <w:tcPr>
            <w:tcW w:w="1020"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31.68</w:t>
            </w: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31.68</w:t>
            </w:r>
          </w:p>
        </w:tc>
        <w:tc>
          <w:tcPr>
            <w:tcW w:w="19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31.68</w:t>
            </w:r>
          </w:p>
        </w:tc>
        <w:tc>
          <w:tcPr>
            <w:tcW w:w="96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9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518"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642" w:hRule="atLeast"/>
        </w:trPr>
        <w:tc>
          <w:tcPr>
            <w:tcW w:w="1020"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6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518"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326" w:hRule="atLeast"/>
        </w:trPr>
        <w:tc>
          <w:tcPr>
            <w:tcW w:w="1020"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6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518"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326" w:hRule="atLeast"/>
        </w:trPr>
        <w:tc>
          <w:tcPr>
            <w:tcW w:w="1020"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96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9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518"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10" w:type="dxa"/>
          <w:trHeight w:val="1274" w:hRule="atLeast"/>
        </w:trPr>
        <w:tc>
          <w:tcPr>
            <w:tcW w:w="1020" w:type="dxa"/>
            <w:gridSpan w:val="3"/>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2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75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96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9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51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326" w:hRule="atLeast"/>
        </w:trPr>
        <w:tc>
          <w:tcPr>
            <w:tcW w:w="1020"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3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15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足额保障率</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5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6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9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51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10" w:type="dxa"/>
          <w:trHeight w:val="326" w:hRule="atLeast"/>
        </w:trPr>
        <w:tc>
          <w:tcPr>
            <w:tcW w:w="1020"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3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5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科目调整次数</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5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96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9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51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326" w:hRule="atLeast"/>
        </w:trPr>
        <w:tc>
          <w:tcPr>
            <w:tcW w:w="1020"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3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按时发放率</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5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6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9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51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642" w:hRule="atLeast"/>
        </w:trPr>
        <w:tc>
          <w:tcPr>
            <w:tcW w:w="1020" w:type="dxa"/>
            <w:gridSpan w:val="3"/>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6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结余率（计算方法为：结余数/预算数）</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5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6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9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51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326" w:hRule="atLeast"/>
        </w:trPr>
        <w:tc>
          <w:tcPr>
            <w:tcW w:w="7950" w:type="dxa"/>
            <w:gridSpan w:val="1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9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51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642" w:hRule="atLeast"/>
        </w:trPr>
        <w:tc>
          <w:tcPr>
            <w:tcW w:w="102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975" w:type="dxa"/>
            <w:gridSpan w:val="1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642" w:hRule="atLeast"/>
        </w:trPr>
        <w:tc>
          <w:tcPr>
            <w:tcW w:w="102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975" w:type="dxa"/>
            <w:gridSpan w:val="1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642" w:hRule="atLeast"/>
        </w:trPr>
        <w:tc>
          <w:tcPr>
            <w:tcW w:w="102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975" w:type="dxa"/>
            <w:gridSpan w:val="1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10" w:type="dxa"/>
          <w:trHeight w:val="336" w:hRule="atLeast"/>
        </w:trPr>
        <w:tc>
          <w:tcPr>
            <w:tcW w:w="5670"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项目负责人：张代胜</w:t>
            </w:r>
          </w:p>
        </w:tc>
        <w:tc>
          <w:tcPr>
            <w:tcW w:w="5325" w:type="dxa"/>
            <w:gridSpan w:val="1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1010" w:type="dxa"/>
        <w:tblInd w:w="-123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75"/>
        <w:gridCol w:w="1751"/>
        <w:gridCol w:w="1322"/>
        <w:gridCol w:w="1910"/>
        <w:gridCol w:w="490"/>
        <w:gridCol w:w="1029"/>
        <w:gridCol w:w="431"/>
        <w:gridCol w:w="1102"/>
        <w:gridCol w:w="576"/>
        <w:gridCol w:w="576"/>
        <w:gridCol w:w="84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2" w:hRule="atLeast"/>
        </w:trPr>
        <w:tc>
          <w:tcPr>
            <w:tcW w:w="1101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2" w:hRule="atLeast"/>
        </w:trPr>
        <w:tc>
          <w:tcPr>
            <w:tcW w:w="272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28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51190022R000004695144-其他社会保险（事业）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2" w:hRule="atLeast"/>
        </w:trPr>
        <w:tc>
          <w:tcPr>
            <w:tcW w:w="272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182"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102"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0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2" w:hRule="atLeast"/>
        </w:trPr>
        <w:tc>
          <w:tcPr>
            <w:tcW w:w="97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75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182"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102"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2" w:hRule="atLeast"/>
        </w:trPr>
        <w:tc>
          <w:tcPr>
            <w:tcW w:w="9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75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182"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c>
          <w:tcPr>
            <w:tcW w:w="3102"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2" w:hRule="atLeast"/>
        </w:trPr>
        <w:tc>
          <w:tcPr>
            <w:tcW w:w="9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7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28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2" w:hRule="atLeast"/>
        </w:trPr>
        <w:tc>
          <w:tcPr>
            <w:tcW w:w="97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7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3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9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5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1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8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2" w:hRule="atLeast"/>
        </w:trPr>
        <w:tc>
          <w:tcPr>
            <w:tcW w:w="9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3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3.03</w:t>
            </w:r>
          </w:p>
        </w:tc>
        <w:tc>
          <w:tcPr>
            <w:tcW w:w="19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3.03</w:t>
            </w:r>
          </w:p>
        </w:tc>
        <w:tc>
          <w:tcPr>
            <w:tcW w:w="195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3.03</w:t>
            </w:r>
          </w:p>
        </w:tc>
        <w:tc>
          <w:tcPr>
            <w:tcW w:w="11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848"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2" w:hRule="atLeast"/>
        </w:trPr>
        <w:tc>
          <w:tcPr>
            <w:tcW w:w="9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3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3.03</w:t>
            </w:r>
          </w:p>
        </w:tc>
        <w:tc>
          <w:tcPr>
            <w:tcW w:w="19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3.03</w:t>
            </w:r>
          </w:p>
        </w:tc>
        <w:tc>
          <w:tcPr>
            <w:tcW w:w="195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3.03</w:t>
            </w:r>
          </w:p>
        </w:tc>
        <w:tc>
          <w:tcPr>
            <w:tcW w:w="11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4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2" w:hRule="atLeast"/>
        </w:trPr>
        <w:tc>
          <w:tcPr>
            <w:tcW w:w="9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3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5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1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4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2" w:hRule="atLeast"/>
        </w:trPr>
        <w:tc>
          <w:tcPr>
            <w:tcW w:w="9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3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5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1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4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2" w:hRule="atLeast"/>
        </w:trPr>
        <w:tc>
          <w:tcPr>
            <w:tcW w:w="9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3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5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1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4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92" w:hRule="atLeast"/>
        </w:trPr>
        <w:tc>
          <w:tcPr>
            <w:tcW w:w="97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7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3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9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1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8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2" w:hRule="atLeast"/>
        </w:trPr>
        <w:tc>
          <w:tcPr>
            <w:tcW w:w="9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5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322"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9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科目调整次数</w:t>
            </w:r>
          </w:p>
        </w:tc>
        <w:tc>
          <w:tcPr>
            <w:tcW w:w="4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11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8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2" w:hRule="atLeast"/>
        </w:trPr>
        <w:tc>
          <w:tcPr>
            <w:tcW w:w="9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5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2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9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足额保障率</w:t>
            </w:r>
          </w:p>
        </w:tc>
        <w:tc>
          <w:tcPr>
            <w:tcW w:w="4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8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2" w:hRule="atLeast"/>
        </w:trPr>
        <w:tc>
          <w:tcPr>
            <w:tcW w:w="9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5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9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按时发放率</w:t>
            </w:r>
          </w:p>
        </w:tc>
        <w:tc>
          <w:tcPr>
            <w:tcW w:w="4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8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52" w:hRule="atLeast"/>
        </w:trPr>
        <w:tc>
          <w:tcPr>
            <w:tcW w:w="9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5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3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9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结余率（计算方法为：结余数/预算数）</w:t>
            </w:r>
          </w:p>
        </w:tc>
        <w:tc>
          <w:tcPr>
            <w:tcW w:w="4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43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8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2" w:hRule="atLeast"/>
        </w:trPr>
        <w:tc>
          <w:tcPr>
            <w:tcW w:w="9010"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8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2" w:hRule="atLeast"/>
        </w:trPr>
        <w:tc>
          <w:tcPr>
            <w:tcW w:w="9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1003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2" w:hRule="atLeast"/>
        </w:trPr>
        <w:tc>
          <w:tcPr>
            <w:tcW w:w="9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1003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2" w:hRule="atLeast"/>
        </w:trPr>
        <w:tc>
          <w:tcPr>
            <w:tcW w:w="9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1003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3" w:hRule="atLeast"/>
        </w:trPr>
        <w:tc>
          <w:tcPr>
            <w:tcW w:w="6448"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项目负责人：张代胜</w:t>
            </w:r>
          </w:p>
        </w:tc>
        <w:tc>
          <w:tcPr>
            <w:tcW w:w="4562"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980" w:type="dxa"/>
        <w:tblInd w:w="-122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05"/>
        <w:gridCol w:w="1611"/>
        <w:gridCol w:w="1277"/>
        <w:gridCol w:w="1841"/>
        <w:gridCol w:w="474"/>
        <w:gridCol w:w="993"/>
        <w:gridCol w:w="416"/>
        <w:gridCol w:w="1067"/>
        <w:gridCol w:w="576"/>
        <w:gridCol w:w="576"/>
        <w:gridCol w:w="114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5" w:hRule="atLeast"/>
        </w:trPr>
        <w:tc>
          <w:tcPr>
            <w:tcW w:w="1098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8" w:hRule="atLeast"/>
        </w:trPr>
        <w:tc>
          <w:tcPr>
            <w:tcW w:w="261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36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51190022R000004695703-住房公积金（事业）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5" w:hRule="atLeast"/>
        </w:trPr>
        <w:tc>
          <w:tcPr>
            <w:tcW w:w="261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00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067"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29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8" w:hRule="atLeast"/>
        </w:trPr>
        <w:tc>
          <w:tcPr>
            <w:tcW w:w="100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61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00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363"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5"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61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00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c>
          <w:tcPr>
            <w:tcW w:w="3363"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93"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6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36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5" w:hRule="atLeast"/>
        </w:trPr>
        <w:tc>
          <w:tcPr>
            <w:tcW w:w="100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6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2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8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883"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0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1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8"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2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40.40</w:t>
            </w:r>
          </w:p>
        </w:tc>
        <w:tc>
          <w:tcPr>
            <w:tcW w:w="18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59.25</w:t>
            </w:r>
          </w:p>
        </w:tc>
        <w:tc>
          <w:tcPr>
            <w:tcW w:w="1883"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59.25</w:t>
            </w:r>
          </w:p>
        </w:tc>
        <w:tc>
          <w:tcPr>
            <w:tcW w:w="10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144"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5"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2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40.40</w:t>
            </w:r>
          </w:p>
        </w:tc>
        <w:tc>
          <w:tcPr>
            <w:tcW w:w="18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59.25</w:t>
            </w:r>
          </w:p>
        </w:tc>
        <w:tc>
          <w:tcPr>
            <w:tcW w:w="1883"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59.25</w:t>
            </w:r>
          </w:p>
        </w:tc>
        <w:tc>
          <w:tcPr>
            <w:tcW w:w="10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4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65"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2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3"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4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8"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2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3"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4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8"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2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83"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4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20" w:hRule="atLeast"/>
        </w:trPr>
        <w:tc>
          <w:tcPr>
            <w:tcW w:w="100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6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2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8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9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0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1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8"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1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27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8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科目调整次数</w:t>
            </w:r>
          </w:p>
        </w:tc>
        <w:tc>
          <w:tcPr>
            <w:tcW w:w="4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4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10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1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8"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1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7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8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足额保障率</w:t>
            </w:r>
          </w:p>
        </w:tc>
        <w:tc>
          <w:tcPr>
            <w:tcW w:w="4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1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8"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1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8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按时发放率</w:t>
            </w:r>
          </w:p>
        </w:tc>
        <w:tc>
          <w:tcPr>
            <w:tcW w:w="4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1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5" w:hRule="atLeast"/>
        </w:trPr>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2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84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结余率（计算方法为：结余数/预算数）</w:t>
            </w:r>
          </w:p>
        </w:tc>
        <w:tc>
          <w:tcPr>
            <w:tcW w:w="4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4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11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8" w:hRule="atLeast"/>
        </w:trPr>
        <w:tc>
          <w:tcPr>
            <w:tcW w:w="8684"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1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8" w:hRule="atLeast"/>
        </w:trPr>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97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8" w:hRule="atLeast"/>
        </w:trPr>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97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8" w:hRule="atLeast"/>
        </w:trPr>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97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48" w:hRule="atLeast"/>
        </w:trPr>
        <w:tc>
          <w:tcPr>
            <w:tcW w:w="6208"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项目负责人：张代胜</w:t>
            </w:r>
          </w:p>
        </w:tc>
        <w:tc>
          <w:tcPr>
            <w:tcW w:w="4772"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920" w:type="dxa"/>
        <w:tblInd w:w="-119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35"/>
        <w:gridCol w:w="1608"/>
        <w:gridCol w:w="1301"/>
        <w:gridCol w:w="1877"/>
        <w:gridCol w:w="482"/>
        <w:gridCol w:w="1012"/>
        <w:gridCol w:w="423"/>
        <w:gridCol w:w="1086"/>
        <w:gridCol w:w="576"/>
        <w:gridCol w:w="576"/>
        <w:gridCol w:w="94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8" w:hRule="atLeast"/>
        </w:trPr>
        <w:tc>
          <w:tcPr>
            <w:tcW w:w="1092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2643"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277"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51190022R000004697357-独生子女奖励金（事业）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8" w:hRule="atLeast"/>
        </w:trPr>
        <w:tc>
          <w:tcPr>
            <w:tcW w:w="2643"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09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086"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9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10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608"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09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182"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8"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60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09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c>
          <w:tcPr>
            <w:tcW w:w="3182"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52"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6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277"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8" w:hRule="atLeast"/>
        </w:trPr>
        <w:tc>
          <w:tcPr>
            <w:tcW w:w="10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6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30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8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1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08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30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0.13</w:t>
            </w:r>
          </w:p>
        </w:tc>
        <w:tc>
          <w:tcPr>
            <w:tcW w:w="18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0.13</w:t>
            </w:r>
          </w:p>
        </w:tc>
        <w:tc>
          <w:tcPr>
            <w:tcW w:w="191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0.13</w:t>
            </w:r>
          </w:p>
        </w:tc>
        <w:tc>
          <w:tcPr>
            <w:tcW w:w="108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44"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8"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30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0.13</w:t>
            </w:r>
          </w:p>
        </w:tc>
        <w:tc>
          <w:tcPr>
            <w:tcW w:w="18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0.13</w:t>
            </w:r>
          </w:p>
        </w:tc>
        <w:tc>
          <w:tcPr>
            <w:tcW w:w="191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0.13</w:t>
            </w:r>
          </w:p>
        </w:tc>
        <w:tc>
          <w:tcPr>
            <w:tcW w:w="108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8"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30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1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8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30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1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8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301"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1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8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6" w:hRule="atLeast"/>
        </w:trPr>
        <w:tc>
          <w:tcPr>
            <w:tcW w:w="10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6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30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8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08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08"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3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8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科目调整次数</w:t>
            </w:r>
          </w:p>
        </w:tc>
        <w:tc>
          <w:tcPr>
            <w:tcW w:w="4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4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108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9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4"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0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8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足额保障率</w:t>
            </w:r>
          </w:p>
        </w:tc>
        <w:tc>
          <w:tcPr>
            <w:tcW w:w="4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8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9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4"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0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8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按时发放率</w:t>
            </w:r>
          </w:p>
        </w:tc>
        <w:tc>
          <w:tcPr>
            <w:tcW w:w="4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8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9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8"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30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8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结余率（计算方法为：结余数/预算数）</w:t>
            </w:r>
          </w:p>
        </w:tc>
        <w:tc>
          <w:tcPr>
            <w:tcW w:w="4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4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8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9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4" w:hRule="atLeast"/>
        </w:trPr>
        <w:tc>
          <w:tcPr>
            <w:tcW w:w="8824"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9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24" w:hRule="atLeast"/>
        </w:trPr>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88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88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88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34" w:hRule="atLeast"/>
        </w:trPr>
        <w:tc>
          <w:tcPr>
            <w:tcW w:w="6303"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项目负责人：张代胜</w:t>
            </w:r>
          </w:p>
        </w:tc>
        <w:tc>
          <w:tcPr>
            <w:tcW w:w="4617"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920" w:type="dxa"/>
        <w:tblInd w:w="-116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80"/>
        <w:gridCol w:w="1080"/>
        <w:gridCol w:w="1125"/>
        <w:gridCol w:w="1920"/>
        <w:gridCol w:w="900"/>
        <w:gridCol w:w="825"/>
        <w:gridCol w:w="780"/>
        <w:gridCol w:w="915"/>
        <w:gridCol w:w="1125"/>
        <w:gridCol w:w="576"/>
        <w:gridCol w:w="89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9" w:hRule="atLeast"/>
        </w:trPr>
        <w:tc>
          <w:tcPr>
            <w:tcW w:w="1092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186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906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51190022R000004701819-退休补充医疗保险（事业）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9" w:hRule="atLeast"/>
        </w:trPr>
        <w:tc>
          <w:tcPr>
            <w:tcW w:w="186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5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915"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59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7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5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51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9" w:hRule="atLeast"/>
        </w:trPr>
        <w:tc>
          <w:tcPr>
            <w:tcW w:w="7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5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c>
          <w:tcPr>
            <w:tcW w:w="351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53" w:hRule="atLeast"/>
        </w:trPr>
        <w:tc>
          <w:tcPr>
            <w:tcW w:w="7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906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9" w:hRule="atLeast"/>
        </w:trPr>
        <w:tc>
          <w:tcPr>
            <w:tcW w:w="7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9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25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8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7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0.62</w:t>
            </w:r>
          </w:p>
        </w:tc>
        <w:tc>
          <w:tcPr>
            <w:tcW w:w="19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0.62</w:t>
            </w:r>
          </w:p>
        </w:tc>
        <w:tc>
          <w:tcPr>
            <w:tcW w:w="25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0.62</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894"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9" w:hRule="atLeast"/>
        </w:trPr>
        <w:tc>
          <w:tcPr>
            <w:tcW w:w="7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0.62</w:t>
            </w:r>
          </w:p>
        </w:tc>
        <w:tc>
          <w:tcPr>
            <w:tcW w:w="19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0.62</w:t>
            </w:r>
          </w:p>
        </w:tc>
        <w:tc>
          <w:tcPr>
            <w:tcW w:w="25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0.62</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9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9" w:hRule="atLeast"/>
        </w:trPr>
        <w:tc>
          <w:tcPr>
            <w:tcW w:w="7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5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9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7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5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9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7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25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9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8" w:hRule="atLeast"/>
        </w:trPr>
        <w:tc>
          <w:tcPr>
            <w:tcW w:w="7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9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7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8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7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12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9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科目调整次数</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7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8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4" w:hRule="atLeast"/>
        </w:trPr>
        <w:tc>
          <w:tcPr>
            <w:tcW w:w="7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2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9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足额保障率</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8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4" w:hRule="atLeast"/>
        </w:trPr>
        <w:tc>
          <w:tcPr>
            <w:tcW w:w="7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9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按时发放率</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8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9" w:hRule="atLeast"/>
        </w:trPr>
        <w:tc>
          <w:tcPr>
            <w:tcW w:w="7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9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结余率（计算方法为：结余数/预算数）</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7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22.5</w:t>
            </w:r>
          </w:p>
        </w:tc>
        <w:tc>
          <w:tcPr>
            <w:tcW w:w="8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8325"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11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894"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7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1014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7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1014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4" w:hRule="atLeast"/>
        </w:trPr>
        <w:tc>
          <w:tcPr>
            <w:tcW w:w="7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1014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 w:hRule="atLeast"/>
        </w:trPr>
        <w:tc>
          <w:tcPr>
            <w:tcW w:w="580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项目负责人：张代胜</w:t>
            </w:r>
          </w:p>
        </w:tc>
        <w:tc>
          <w:tcPr>
            <w:tcW w:w="5115"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940" w:type="dxa"/>
        <w:tblInd w:w="-114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60"/>
        <w:gridCol w:w="1185"/>
        <w:gridCol w:w="1797"/>
        <w:gridCol w:w="1895"/>
        <w:gridCol w:w="485"/>
        <w:gridCol w:w="1020"/>
        <w:gridCol w:w="427"/>
        <w:gridCol w:w="1093"/>
        <w:gridCol w:w="558"/>
        <w:gridCol w:w="570"/>
        <w:gridCol w:w="95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5" w:hRule="atLeast"/>
        </w:trPr>
        <w:tc>
          <w:tcPr>
            <w:tcW w:w="1094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3" w:hRule="atLeast"/>
        </w:trPr>
        <w:tc>
          <w:tcPr>
            <w:tcW w:w="214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79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51190022R000005809312-2022年离退休人员生活补助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5" w:hRule="atLeast"/>
        </w:trPr>
        <w:tc>
          <w:tcPr>
            <w:tcW w:w="214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624"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093" w:type="dxa"/>
            <w:tcBorders>
              <w:top w:val="nil"/>
              <w:left w:val="nil"/>
              <w:bottom w:val="nil"/>
              <w:right w:val="nil"/>
            </w:tcBorders>
            <w:shd w:val="clear" w:color="auto" w:fill="FFFFFF"/>
            <w:vAlign w:val="center"/>
          </w:tcPr>
          <w:p>
            <w:pPr>
              <w:keepNext w:val="0"/>
              <w:keepLines w:val="0"/>
              <w:widowControl/>
              <w:suppressLineNumbers w:val="0"/>
              <w:jc w:val="center"/>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7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3" w:hRule="atLeast"/>
        </w:trPr>
        <w:tc>
          <w:tcPr>
            <w:tcW w:w="96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18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624"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171"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5"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624"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c>
          <w:tcPr>
            <w:tcW w:w="3171"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8"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79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5" w:hRule="atLeast"/>
        </w:trPr>
        <w:tc>
          <w:tcPr>
            <w:tcW w:w="96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3"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17.30</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17.30</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5"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17.30</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17.30</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5"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3"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3"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1" w:hRule="atLeast"/>
        </w:trPr>
        <w:tc>
          <w:tcPr>
            <w:tcW w:w="96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3"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3" w:hRule="atLeast"/>
        </w:trPr>
        <w:tc>
          <w:tcPr>
            <w:tcW w:w="8862"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3" w:hRule="atLeast"/>
        </w:trPr>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98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3" w:hRule="atLeast"/>
        </w:trPr>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98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3" w:hRule="atLeast"/>
        </w:trPr>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98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3" w:hRule="atLeast"/>
        </w:trPr>
        <w:tc>
          <w:tcPr>
            <w:tcW w:w="6322"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项目负责人：张代胜</w:t>
            </w:r>
          </w:p>
        </w:tc>
        <w:tc>
          <w:tcPr>
            <w:tcW w:w="4618"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960" w:type="dxa"/>
        <w:tblInd w:w="-113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60"/>
        <w:gridCol w:w="1305"/>
        <w:gridCol w:w="1005"/>
        <w:gridCol w:w="1395"/>
        <w:gridCol w:w="705"/>
        <w:gridCol w:w="450"/>
        <w:gridCol w:w="600"/>
        <w:gridCol w:w="915"/>
        <w:gridCol w:w="540"/>
        <w:gridCol w:w="750"/>
        <w:gridCol w:w="23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3" w:hRule="atLeast"/>
        </w:trPr>
        <w:tc>
          <w:tcPr>
            <w:tcW w:w="1096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226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69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51190022R000005828014-2022年春节前市级部门及驻巴单位在职人员补充发放目标绩效奖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3" w:hRule="atLeast"/>
        </w:trPr>
        <w:tc>
          <w:tcPr>
            <w:tcW w:w="226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15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915"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62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30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15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454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3"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15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c>
          <w:tcPr>
            <w:tcW w:w="454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4"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69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3" w:hRule="atLeast"/>
        </w:trPr>
        <w:tc>
          <w:tcPr>
            <w:tcW w:w="96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3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7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23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5.88</w:t>
            </w:r>
          </w:p>
        </w:tc>
        <w:tc>
          <w:tcPr>
            <w:tcW w:w="17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5.88</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3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3"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5.88</w:t>
            </w:r>
          </w:p>
        </w:tc>
        <w:tc>
          <w:tcPr>
            <w:tcW w:w="17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5.88</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3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3"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7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3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7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3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7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3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5" w:hRule="atLeast"/>
        </w:trPr>
        <w:tc>
          <w:tcPr>
            <w:tcW w:w="96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3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4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23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9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23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7335"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3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1000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1000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1" w:hRule="atLeast"/>
        </w:trPr>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1000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1" w:hRule="atLeast"/>
        </w:trPr>
        <w:tc>
          <w:tcPr>
            <w:tcW w:w="537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项目负责人：张代胜</w:t>
            </w:r>
          </w:p>
        </w:tc>
        <w:tc>
          <w:tcPr>
            <w:tcW w:w="5590"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935" w:type="dxa"/>
        <w:tblInd w:w="-110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75"/>
        <w:gridCol w:w="1665"/>
        <w:gridCol w:w="958"/>
        <w:gridCol w:w="1890"/>
        <w:gridCol w:w="484"/>
        <w:gridCol w:w="1018"/>
        <w:gridCol w:w="426"/>
        <w:gridCol w:w="1090"/>
        <w:gridCol w:w="557"/>
        <w:gridCol w:w="569"/>
        <w:gridCol w:w="100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10935"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294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799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51190022R000006415807-2022年3月发放市本级在职人员基础绩效奖和年度考核奖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294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776"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090"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12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127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66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776"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219"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12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6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776"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c>
          <w:tcPr>
            <w:tcW w:w="3219"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2" w:hRule="atLeast"/>
        </w:trPr>
        <w:tc>
          <w:tcPr>
            <w:tcW w:w="12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799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127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6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9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8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2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0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5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00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12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9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236.05</w:t>
            </w:r>
          </w:p>
        </w:tc>
        <w:tc>
          <w:tcPr>
            <w:tcW w:w="192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229.06</w:t>
            </w:r>
          </w:p>
        </w:tc>
        <w:tc>
          <w:tcPr>
            <w:tcW w:w="10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97.04%</w:t>
            </w:r>
          </w:p>
        </w:tc>
        <w:tc>
          <w:tcPr>
            <w:tcW w:w="55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00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12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9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236.05</w:t>
            </w:r>
          </w:p>
        </w:tc>
        <w:tc>
          <w:tcPr>
            <w:tcW w:w="192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229.06</w:t>
            </w:r>
          </w:p>
        </w:tc>
        <w:tc>
          <w:tcPr>
            <w:tcW w:w="10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97.04%</w:t>
            </w:r>
          </w:p>
        </w:tc>
        <w:tc>
          <w:tcPr>
            <w:tcW w:w="55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0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12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9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2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0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12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9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2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0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12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9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2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5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0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3" w:hRule="atLeast"/>
        </w:trPr>
        <w:tc>
          <w:tcPr>
            <w:tcW w:w="127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6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9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8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1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0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5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00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127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8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1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5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5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0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8806"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5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003"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12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66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12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66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12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66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1" w:hRule="atLeast"/>
        </w:trPr>
        <w:tc>
          <w:tcPr>
            <w:tcW w:w="6272"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项目负责人：张代胜</w:t>
            </w:r>
          </w:p>
        </w:tc>
        <w:tc>
          <w:tcPr>
            <w:tcW w:w="4663"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940" w:type="dxa"/>
        <w:tblInd w:w="-107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16"/>
        <w:gridCol w:w="1368"/>
        <w:gridCol w:w="1319"/>
        <w:gridCol w:w="1905"/>
        <w:gridCol w:w="488"/>
        <w:gridCol w:w="1026"/>
        <w:gridCol w:w="429"/>
        <w:gridCol w:w="1099"/>
        <w:gridCol w:w="561"/>
        <w:gridCol w:w="574"/>
        <w:gridCol w:w="9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trPr>
        <w:tc>
          <w:tcPr>
            <w:tcW w:w="1094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258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356"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51190022R000006416035-2022年3月发放市本级离退休人员生活补助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trPr>
        <w:tc>
          <w:tcPr>
            <w:tcW w:w="258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167"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099"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9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21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368"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167"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189"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trPr>
        <w:tc>
          <w:tcPr>
            <w:tcW w:w="121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6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167"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c>
          <w:tcPr>
            <w:tcW w:w="3189"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962" w:hRule="atLeast"/>
        </w:trPr>
        <w:tc>
          <w:tcPr>
            <w:tcW w:w="121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356"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trPr>
        <w:tc>
          <w:tcPr>
            <w:tcW w:w="121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3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31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9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43"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0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6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21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31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2.13</w:t>
            </w:r>
          </w:p>
        </w:tc>
        <w:tc>
          <w:tcPr>
            <w:tcW w:w="1943"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2.13</w:t>
            </w:r>
          </w:p>
        </w:tc>
        <w:tc>
          <w:tcPr>
            <w:tcW w:w="10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6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44" w:hRule="atLeast"/>
        </w:trPr>
        <w:tc>
          <w:tcPr>
            <w:tcW w:w="121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31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2.13</w:t>
            </w:r>
          </w:p>
        </w:tc>
        <w:tc>
          <w:tcPr>
            <w:tcW w:w="1943"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2.13</w:t>
            </w:r>
          </w:p>
        </w:tc>
        <w:tc>
          <w:tcPr>
            <w:tcW w:w="10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6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trPr>
        <w:tc>
          <w:tcPr>
            <w:tcW w:w="121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31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43"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6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21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31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43"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6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21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319"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43"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6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79" w:hRule="atLeast"/>
        </w:trPr>
        <w:tc>
          <w:tcPr>
            <w:tcW w:w="121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3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31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9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0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6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21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19"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9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61"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27" w:hRule="atLeast"/>
        </w:trPr>
        <w:tc>
          <w:tcPr>
            <w:tcW w:w="8850"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6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9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2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724"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2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724"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trPr>
        <w:tc>
          <w:tcPr>
            <w:tcW w:w="12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724"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7" w:hRule="atLeast"/>
        </w:trPr>
        <w:tc>
          <w:tcPr>
            <w:tcW w:w="6296"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项目负责人：张代胜</w:t>
            </w:r>
          </w:p>
        </w:tc>
        <w:tc>
          <w:tcPr>
            <w:tcW w:w="4644"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920" w:type="dxa"/>
        <w:tblInd w:w="-107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71"/>
        <w:gridCol w:w="1409"/>
        <w:gridCol w:w="1316"/>
        <w:gridCol w:w="1902"/>
        <w:gridCol w:w="487"/>
        <w:gridCol w:w="1024"/>
        <w:gridCol w:w="428"/>
        <w:gridCol w:w="1097"/>
        <w:gridCol w:w="560"/>
        <w:gridCol w:w="573"/>
        <w:gridCol w:w="95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90" w:hRule="atLeast"/>
        </w:trPr>
        <w:tc>
          <w:tcPr>
            <w:tcW w:w="1092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58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34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51190022T000004846780-设备采购及政府购买公共服务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258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157"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097" w:type="dxa"/>
            <w:tcBorders>
              <w:top w:val="nil"/>
              <w:left w:val="nil"/>
              <w:bottom w:val="nil"/>
              <w:right w:val="nil"/>
            </w:tcBorders>
            <w:shd w:val="clear" w:color="auto" w:fill="FFFFFF"/>
            <w:vAlign w:val="center"/>
          </w:tcPr>
          <w:p>
            <w:pPr>
              <w:keepNext w:val="0"/>
              <w:keepLines w:val="0"/>
              <w:widowControl/>
              <w:suppressLineNumbers w:val="0"/>
              <w:jc w:val="center"/>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8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17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409"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157"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183"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40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157"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为了</w:t>
            </w:r>
            <w:r>
              <w:rPr>
                <w:rFonts w:hint="eastAsia" w:ascii="宋体" w:hAnsi="宋体" w:cs="宋体"/>
                <w:i w:val="0"/>
                <w:iCs w:val="0"/>
                <w:color w:val="000000"/>
                <w:kern w:val="0"/>
                <w:sz w:val="18"/>
                <w:szCs w:val="18"/>
                <w:u w:val="none"/>
                <w:lang w:val="en-US" w:eastAsia="zh-CN" w:bidi="ar"/>
              </w:rPr>
              <w:t>更好地为</w:t>
            </w:r>
            <w:r>
              <w:rPr>
                <w:rFonts w:ascii="宋体" w:hAnsi="宋体" w:eastAsia="宋体" w:cs="宋体"/>
                <w:i w:val="0"/>
                <w:iCs w:val="0"/>
                <w:color w:val="000000"/>
                <w:kern w:val="0"/>
                <w:sz w:val="18"/>
                <w:szCs w:val="18"/>
                <w:u w:val="none"/>
                <w:lang w:val="en-US" w:eastAsia="zh-CN" w:bidi="ar"/>
              </w:rPr>
              <w:t>病人服务，满足病人检查治疗需要，增强医院诊疗技术水平，购置设备。</w:t>
            </w:r>
          </w:p>
        </w:tc>
        <w:tc>
          <w:tcPr>
            <w:tcW w:w="3183"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为了更好地为病人服务，满足病人检查治疗需要，增强医院诊疗技术水平，购置设备。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40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34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为了</w:t>
            </w:r>
            <w:r>
              <w:rPr>
                <w:rFonts w:hint="eastAsia" w:ascii="宋体" w:hAnsi="宋体" w:cs="宋体"/>
                <w:i w:val="0"/>
                <w:iCs w:val="0"/>
                <w:color w:val="000000"/>
                <w:kern w:val="0"/>
                <w:sz w:val="18"/>
                <w:szCs w:val="18"/>
                <w:u w:val="none"/>
                <w:lang w:val="en-US" w:eastAsia="zh-CN" w:bidi="ar"/>
              </w:rPr>
              <w:t>更好地为</w:t>
            </w:r>
            <w:r>
              <w:rPr>
                <w:rFonts w:ascii="宋体" w:hAnsi="宋体" w:eastAsia="宋体" w:cs="宋体"/>
                <w:i w:val="0"/>
                <w:iCs w:val="0"/>
                <w:color w:val="000000"/>
                <w:kern w:val="0"/>
                <w:sz w:val="18"/>
                <w:szCs w:val="18"/>
                <w:u w:val="none"/>
                <w:lang w:val="en-US" w:eastAsia="zh-CN" w:bidi="ar"/>
              </w:rPr>
              <w:t>病人服务，满足病人检查治疗需要，增强医院诊疗技术水平，购置设备。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40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3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28.56</w:t>
            </w:r>
          </w:p>
        </w:tc>
        <w:tc>
          <w:tcPr>
            <w:tcW w:w="193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28.56</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3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3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28.56</w:t>
            </w:r>
          </w:p>
        </w:tc>
        <w:tc>
          <w:tcPr>
            <w:tcW w:w="193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28.56</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3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117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40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31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办公设备购置</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批</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办公设备购置（基建）</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批</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专用设备购置</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批</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是否符合质量要求</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完成时间</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全院职工满意度</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95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可持续影响指标</w:t>
            </w: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可持续影响时间</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高中低</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高</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95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131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患者满意度</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99</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99</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95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0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90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员工满意度</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99</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95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834"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953"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749"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749"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1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749"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28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项目负责人：夏宇</w:t>
            </w:r>
          </w:p>
        </w:tc>
        <w:tc>
          <w:tcPr>
            <w:tcW w:w="4635"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920" w:type="dxa"/>
        <w:tblInd w:w="-107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97"/>
        <w:gridCol w:w="1169"/>
        <w:gridCol w:w="1526"/>
        <w:gridCol w:w="1571"/>
        <w:gridCol w:w="538"/>
        <w:gridCol w:w="627"/>
        <w:gridCol w:w="692"/>
        <w:gridCol w:w="1092"/>
        <w:gridCol w:w="612"/>
        <w:gridCol w:w="642"/>
        <w:gridCol w:w="18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3" w:hRule="atLeast"/>
        </w:trPr>
        <w:tc>
          <w:tcPr>
            <w:tcW w:w="1092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4" w:hRule="atLeast"/>
        </w:trPr>
        <w:tc>
          <w:tcPr>
            <w:tcW w:w="176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915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51190022T000004976160-孕产妇新生儿死亡调查疾病筛查经费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3" w:hRule="atLeast"/>
        </w:trPr>
        <w:tc>
          <w:tcPr>
            <w:tcW w:w="176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954"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092"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108"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4" w:hRule="atLeast"/>
        </w:trPr>
        <w:tc>
          <w:tcPr>
            <w:tcW w:w="59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169"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954"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420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67"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6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954"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1、全市孕产妇、新生儿死亡案例的调查、评审等项目监管工作，减少全市孕产妇及新生儿死亡的个数，降低全市孕产妇和儿童死亡率，促进全市妇女儿童健康水平的不断增强。</w:t>
            </w:r>
            <w:r>
              <w:rPr>
                <w:rFonts w:ascii="宋体" w:hAnsi="宋体" w:eastAsia="宋体" w:cs="宋体"/>
                <w:i w:val="0"/>
                <w:iCs w:val="0"/>
                <w:color w:val="000000"/>
                <w:kern w:val="0"/>
                <w:sz w:val="18"/>
                <w:szCs w:val="18"/>
                <w:u w:val="none"/>
                <w:lang w:val="en-US" w:eastAsia="zh-CN" w:bidi="ar"/>
              </w:rPr>
              <w:br w:type="textWrapping"/>
            </w:r>
            <w:r>
              <w:rPr>
                <w:rFonts w:ascii="宋体" w:hAnsi="宋体" w:eastAsia="宋体" w:cs="宋体"/>
                <w:i w:val="0"/>
                <w:iCs w:val="0"/>
                <w:color w:val="000000"/>
                <w:kern w:val="0"/>
                <w:sz w:val="18"/>
                <w:szCs w:val="18"/>
                <w:u w:val="none"/>
                <w:lang w:val="en-US" w:eastAsia="zh-CN" w:bidi="ar"/>
              </w:rPr>
              <w:t>2、早期发现新生儿遗传代谢苯丙酮尿症（PKU）、先天性甲状腺功能减低症（CH）和新生儿听力障碍患儿，使患儿得到及时诊断和治疗，降低儿童智障和听力残疾发生率，提高人口素质，促进新生儿疾病筛查服务网络建立和完善。</w:t>
            </w:r>
          </w:p>
        </w:tc>
        <w:tc>
          <w:tcPr>
            <w:tcW w:w="420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1、全市孕产妇、新生儿死亡案例的调查、评审等项目监管工作，减少全市孕产妇及新生儿死亡的个数，降低全市孕产妇和儿童死亡率，促进全市妇女儿童健康水平的不断增强。</w:t>
            </w:r>
            <w:r>
              <w:rPr>
                <w:rFonts w:hint="eastAsia" w:ascii="黑体" w:hAnsi="黑体" w:eastAsia="黑体" w:cs="黑体"/>
                <w:i w:val="0"/>
                <w:iCs w:val="0"/>
                <w:color w:val="000000"/>
                <w:kern w:val="0"/>
                <w:sz w:val="18"/>
                <w:szCs w:val="18"/>
                <w:u w:val="none"/>
                <w:lang w:val="en-US" w:eastAsia="zh-CN" w:bidi="ar"/>
              </w:rPr>
              <w:br w:type="textWrapping"/>
            </w:r>
            <w:r>
              <w:rPr>
                <w:rFonts w:hint="eastAsia" w:ascii="黑体" w:hAnsi="黑体" w:eastAsia="黑体" w:cs="黑体"/>
                <w:i w:val="0"/>
                <w:iCs w:val="0"/>
                <w:color w:val="000000"/>
                <w:kern w:val="0"/>
                <w:sz w:val="18"/>
                <w:szCs w:val="18"/>
                <w:u w:val="none"/>
                <w:lang w:val="en-US" w:eastAsia="zh-CN" w:bidi="ar"/>
              </w:rPr>
              <w:t>2、早期发现新生儿遗传代谢苯丙酮尿症（PKU）、先天性甲状腺功能减低症（CH）和新生儿听力障碍患儿，使患儿得到及时诊断和治疗，降低儿童智障和听力残疾发生率，提高人口素质，促进新生儿疾病筛查服务网络建立和完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2"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915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2022年，全市机构活产数16173例，“四病”筛查16007人，筛查率98.97%，筛查出可疑患儿858人，召回767人，召回率89.39%，确诊患儿41人；听力筛查15108人，筛查率93.41%，筛查出可疑阳性患儿514人，召回480人，召回率93.39%，确诊患儿2人。全年共召开孕产妇新生儿死亡评审调查会议三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3" w:hRule="atLeast"/>
        </w:trPr>
        <w:tc>
          <w:tcPr>
            <w:tcW w:w="59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1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5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85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4"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5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6.00</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6.00</w:t>
            </w:r>
          </w:p>
        </w:tc>
        <w:tc>
          <w:tcPr>
            <w:tcW w:w="185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4.88</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81.32%</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54"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我市属贫困山区，经济水平相对落后，串联质谱筛查费用较高，极大多数目标人群不愿意接受筛查，一定程度上影响了筛查的整体进度，全年筛查率38.14%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3"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5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6.00</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6.00</w:t>
            </w:r>
          </w:p>
        </w:tc>
        <w:tc>
          <w:tcPr>
            <w:tcW w:w="185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4.88</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81.32%</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5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3"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5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5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5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4"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5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5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5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6"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5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5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5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1" w:hRule="atLeast"/>
        </w:trPr>
        <w:tc>
          <w:tcPr>
            <w:tcW w:w="59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1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5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3"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52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计划筛查新生儿代谢性疾病数量</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1600</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个</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1780</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4"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开展宣传活动</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场次</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3"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孕产妇及新生儿死亡评审会议</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场次</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3"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2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孕产妇死亡率和新生儿死亡率</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好坏</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其他</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3"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培训合格率、群众知晓率</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98</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4"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项目完成时间</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3"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2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评审会议4次（含专家劳务费）</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3.5</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1092"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4.88</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4"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资料印刷成本</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109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4"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督导差旅费</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109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2"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5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全市孕产妇和新生儿死亡率造成的经济损失</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高中低</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其他</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3"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群众认知度和社会影响力</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98</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4"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可持续影响指标</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持续影响时间</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98</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2" w:hRule="atLeast"/>
        </w:trPr>
        <w:tc>
          <w:tcPr>
            <w:tcW w:w="5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6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15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1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广大妇女对母婴传播疾病的知晓率和社会满意度</w:t>
            </w:r>
          </w:p>
        </w:tc>
        <w:tc>
          <w:tcPr>
            <w:tcW w:w="53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99</w:t>
            </w:r>
          </w:p>
        </w:tc>
        <w:tc>
          <w:tcPr>
            <w:tcW w:w="6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99</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4" w:hRule="atLeast"/>
        </w:trPr>
        <w:tc>
          <w:tcPr>
            <w:tcW w:w="7812"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6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4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96</w:t>
            </w:r>
          </w:p>
        </w:tc>
        <w:tc>
          <w:tcPr>
            <w:tcW w:w="1854"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63" w:hRule="atLeast"/>
        </w:trPr>
        <w:tc>
          <w:tcPr>
            <w:tcW w:w="5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10323"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按照年度计划，项目研究持续推进中，2022年受疫情影响，部分工作推进受影响，2023年度加强项目研究，力争项目顺利完成。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9" w:hRule="atLeast"/>
        </w:trPr>
        <w:tc>
          <w:tcPr>
            <w:tcW w:w="5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10323"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 xml:space="preserve">1.听力新筛机构数占比较小。全市助产机构68家，听力筛查机构仅18家，占比26.47%，部分新生儿不能在出生医院接受“一站式”听力筛查服务，需要转介至具有资质的听力筛查机构进行筛查。                                                                                                                             2.多种遗传代谢病筛查率较低。全市采血机构68家，开展串联质谱筛查仅10余家，我市属贫困山区，经济水平相对落后，串联质谱筛查费用较高，极大多数目标人群不愿意接受筛查，一定程度上影响了筛查的整体进度，全年筛查率38.14%。3.部分可疑阳性儿召回工作较困难。由于我市医疗技术水平相对落后，PKU、G6PD、CAH可疑阳性患儿需要转介到省新筛中心进行确诊检查，巴中地理位置特殊，距离成都相对较远，交通不便，限制了部分可疑阳性儿的召回确诊力度，特别是“四病”筛查开展以来，G6PD可疑阳性儿的召回确诊困难，全年召回率仅为65.52%。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9" w:hRule="atLeast"/>
        </w:trPr>
        <w:tc>
          <w:tcPr>
            <w:tcW w:w="5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10323"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进一步加强筛查体系建设。一是鼓励辖区有条件的助产机构积极申报开展听力筛查，不断强化我市听力筛查体系建设。二是指导有资质的听力筛查机构加强人员能力建设，进一步提升听力筛查服务能力，从而提高听力筛查率。三是督促辖区新生儿疾病筛查机构积极开展串联质谱筛查，不断提升服务质量，加大筛查力度，从而提高筛查率。2.进一步强化服务模式。积极探索适合流动人群新生儿疾病筛查工作管理和服务模式，重点加强目标人群对48种遗传代谢病筛查、阳性患儿复查的重要性以及国家惠民政策的宣传，引导服务对象主动接受筛查、复查，努力提升目标人群认知度和参与度，提高可疑阳性患儿召回率。3.进一步加大培训力度。结合辖区实际情况，有针对性地开展基层业务培训，尤其针对血片采集、保存与递送、可疑阳性儿及阳性儿管理等重点环节，着力提升基层医务人员专业技术水平，有效提高筛查服务质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8" w:hRule="atLeast"/>
        </w:trPr>
        <w:tc>
          <w:tcPr>
            <w:tcW w:w="540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项目负责人：许俊华</w:t>
            </w:r>
          </w:p>
        </w:tc>
        <w:tc>
          <w:tcPr>
            <w:tcW w:w="5519"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936" w:type="dxa"/>
        <w:tblInd w:w="-108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26"/>
        <w:gridCol w:w="1290"/>
        <w:gridCol w:w="1110"/>
        <w:gridCol w:w="1365"/>
        <w:gridCol w:w="750"/>
        <w:gridCol w:w="825"/>
        <w:gridCol w:w="585"/>
        <w:gridCol w:w="630"/>
        <w:gridCol w:w="705"/>
        <w:gridCol w:w="630"/>
        <w:gridCol w:w="222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10936"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 w:hRule="atLeast"/>
        </w:trPr>
        <w:tc>
          <w:tcPr>
            <w:tcW w:w="211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82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51190022T000004976163-农村妇女两癌检查及计生优生健康检查经费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211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05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215" w:type="dxa"/>
            <w:gridSpan w:val="2"/>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5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 w:hRule="atLeast"/>
        </w:trPr>
        <w:tc>
          <w:tcPr>
            <w:tcW w:w="82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29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05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477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30"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2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05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1、督导培训“两癌”相关内容，普及“两癌”防治知识，增强农村妇女自我保健意识和技能，提高“两癌”早诊率。完善妇女“两癌”防治水平，逐步降低“两癌”死亡率，改善农村妇女健康状况。</w:t>
            </w:r>
            <w:r>
              <w:rPr>
                <w:rFonts w:ascii="宋体" w:hAnsi="宋体" w:eastAsia="宋体" w:cs="宋体"/>
                <w:i w:val="0"/>
                <w:iCs w:val="0"/>
                <w:color w:val="000000"/>
                <w:kern w:val="0"/>
                <w:sz w:val="18"/>
                <w:szCs w:val="18"/>
                <w:u w:val="none"/>
                <w:lang w:val="en-US" w:eastAsia="zh-CN" w:bidi="ar"/>
              </w:rPr>
              <w:br w:type="textWrapping"/>
            </w:r>
            <w:r>
              <w:rPr>
                <w:rFonts w:ascii="宋体" w:hAnsi="宋体" w:eastAsia="宋体" w:cs="宋体"/>
                <w:i w:val="0"/>
                <w:iCs w:val="0"/>
                <w:color w:val="000000"/>
                <w:kern w:val="0"/>
                <w:sz w:val="18"/>
                <w:szCs w:val="18"/>
                <w:u w:val="none"/>
                <w:lang w:val="en-US" w:eastAsia="zh-CN" w:bidi="ar"/>
              </w:rPr>
              <w:t>2、开展生殖健康科普宣传、教育咨询服务，对出生缺陷干预进行分类培训和指导，使15-50岁的人群懂得生殖健康知识，促进优生检测和生殖健康促进工程工作和人口素质逐步提高。</w:t>
            </w:r>
          </w:p>
        </w:tc>
        <w:tc>
          <w:tcPr>
            <w:tcW w:w="477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1、督导培训“两癌”相关内容，普及“两癌”防治知识，增强农村妇女自我保健意识和技能，提高“两癌”早诊率。完善妇女“两癌”防治水平，逐步降低“两癌”死亡率，改善农村妇女健康状况。</w:t>
            </w:r>
            <w:r>
              <w:rPr>
                <w:rFonts w:hint="eastAsia" w:ascii="黑体" w:hAnsi="黑体" w:eastAsia="黑体" w:cs="黑体"/>
                <w:i w:val="0"/>
                <w:iCs w:val="0"/>
                <w:color w:val="000000"/>
                <w:kern w:val="0"/>
                <w:sz w:val="18"/>
                <w:szCs w:val="18"/>
                <w:u w:val="none"/>
                <w:lang w:val="en-US" w:eastAsia="zh-CN" w:bidi="ar"/>
              </w:rPr>
              <w:br w:type="textWrapping"/>
            </w:r>
            <w:r>
              <w:rPr>
                <w:rFonts w:hint="eastAsia" w:ascii="黑体" w:hAnsi="黑体" w:eastAsia="黑体" w:cs="黑体"/>
                <w:i w:val="0"/>
                <w:iCs w:val="0"/>
                <w:color w:val="000000"/>
                <w:kern w:val="0"/>
                <w:sz w:val="18"/>
                <w:szCs w:val="18"/>
                <w:u w:val="none"/>
                <w:lang w:val="en-US" w:eastAsia="zh-CN" w:bidi="ar"/>
              </w:rPr>
              <w:t>2、开展生殖健康科普宣传、教育咨询服务，对出生缺陷干预进行分类培训和指导，使15-50岁的人群懂得生殖健康知识，促进优生检测和生殖健康促进工程工作和人口素质逐步提高。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33"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82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督导培训“两癌”相关内容，普及“两癌”防治知识，增强农村妇女自我保健意识和技能，提高“两癌”早诊率。完善妇女“两癌”防治水平，逐步降低“两癌”死亡率，改善农村妇女健康状况。开展生殖健康科普宣传、教育咨询服务，对出生缺陷干预进行分类培训和指导，使15-50岁的人群懂得生殖健康知识，促进优生检测和生殖健康促进工程工作和人口素质逐步提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82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5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2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w:t>
            </w:r>
          </w:p>
        </w:tc>
        <w:tc>
          <w:tcPr>
            <w:tcW w:w="15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0.73</w:t>
            </w:r>
          </w:p>
        </w:tc>
        <w:tc>
          <w:tcPr>
            <w:tcW w:w="12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14.60%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22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按照年度计划，项目持续推进，2022年受疫情影响，线下培训改为线上培训。故未能达到90%的预算执行率，但完成年度计划。</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w:t>
            </w:r>
          </w:p>
        </w:tc>
        <w:tc>
          <w:tcPr>
            <w:tcW w:w="15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0.73</w:t>
            </w:r>
          </w:p>
        </w:tc>
        <w:tc>
          <w:tcPr>
            <w:tcW w:w="12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14.60%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22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5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22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5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22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7"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5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2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22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33" w:hRule="atLeast"/>
        </w:trPr>
        <w:tc>
          <w:tcPr>
            <w:tcW w:w="82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3"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11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开展各县区督导次数</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批次</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印刷宣传资料</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万份</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培训相关人员</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人次</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2"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培训合格率</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99</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99</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80"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“两癌”防治知晓率、优生优育知晓率</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8"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宣传培训完成时间</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93"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印刷宣传页费用</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63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0.73</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8"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培训相关人员费用</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63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8"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开展各县区督导差旅费</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63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4"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新生儿出生缺陷及家庭经济损失</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高中低</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33"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群众健康意识和社会认可度</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1"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可持续影响指标</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在未来时间持续产生影响</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59" w:hRule="atLeast"/>
        </w:trPr>
        <w:tc>
          <w:tcPr>
            <w:tcW w:w="82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培训学员满意度和社会认可度</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 w:hRule="atLeast"/>
        </w:trPr>
        <w:tc>
          <w:tcPr>
            <w:tcW w:w="7381"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22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2" w:hRule="atLeast"/>
        </w:trPr>
        <w:tc>
          <w:tcPr>
            <w:tcW w:w="8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1011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按照年度计划，项目持续推进，2022年受疫情影响，线下培训改为线上培训。故未能达到90%的预算执行率，但完成年度计划。</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9" w:hRule="atLeast"/>
        </w:trPr>
        <w:tc>
          <w:tcPr>
            <w:tcW w:w="8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1011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实施能力有待提高。个别项目实施机构专业设备及专业医师相对缺乏，不能满足群众日益增加的健康需求；辅检人员水平参差不齐，出具报告时存在超声图像未体表标记、阴道镜检查报告学术术语欠规范等情况；部分项目信息管理人员对信息上报要求、逻辑关系等掌握不熟悉。2.质控及培训工作有待加强。个别县区“两癌”筛查管理中心指定的质控方案过于简单，未覆盖项目工作的所有环节，质控力度不强，对存在的问题挖掘不深入；项目培训内容单一，只针对项目管理、信息管理等内容进行培训，未对临床相关技术操作进行培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68" w:hRule="atLeast"/>
        </w:trPr>
        <w:tc>
          <w:tcPr>
            <w:tcW w:w="82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1011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加强能力建设。一是加大对专业设备的资金投入，提高硬件设施。二是通过多渠道引进专业人才，不断扩大专家医疗队伍；三是选派专业技术人员到上级医疗机构进行短期培训以及进修学习，进一步强化医务人员的专业知识水平，从而提升服务能力。2.加强质控培训。统一质控标准，规范使用省级下发《川渝妇女“两癌”筛查项目质量评估标准（2022年版）》开展质控工作；加强质控力度，对照质控标准深入排查工作中存在的问题；进一步细化、完善并丰富“两癌”筛查相关培训内容，培训应做到项目工作人员全覆盖，包括项目管理、信息管理、操作技术等各相关专业人员，落实培训效果评估，不断提高工作人员的服务水平和能力。3.加强信息管理。加强信息管理人员对项目信息管理手册的学习，按照项目信息管理要求，规范填写各类登记本，及时完成季度报表和个案登记表的录入、审核、报送，保证信息上报的真实性、及时性和准确性，以数据指导工作，高质量推进工作。4.完善工作机制。结合辖区情况，不断探索更方便群众、更便于操作的高效工作流程，进一步加强“两癌”筛查项目的宣传和跟踪随访服务，努力扩大筛查覆盖面，切实把这项惠民工程持续开展辖区，真正让广大人民群众得实惠、普受惠、长受益。</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3" w:hRule="atLeast"/>
        </w:trPr>
        <w:tc>
          <w:tcPr>
            <w:tcW w:w="534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项目负责人：许俊华</w:t>
            </w:r>
          </w:p>
        </w:tc>
        <w:tc>
          <w:tcPr>
            <w:tcW w:w="5595"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778" w:type="dxa"/>
        <w:tblInd w:w="-95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74"/>
        <w:gridCol w:w="1024"/>
        <w:gridCol w:w="1248"/>
        <w:gridCol w:w="1590"/>
        <w:gridCol w:w="645"/>
        <w:gridCol w:w="630"/>
        <w:gridCol w:w="675"/>
        <w:gridCol w:w="660"/>
        <w:gridCol w:w="420"/>
        <w:gridCol w:w="660"/>
        <w:gridCol w:w="581"/>
        <w:gridCol w:w="187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2" w:hRule="atLeast"/>
        </w:trPr>
        <w:tc>
          <w:tcPr>
            <w:tcW w:w="10778" w:type="dxa"/>
            <w:gridSpan w:val="1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1798"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98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51190022T000004976166-艾滋病乙肝梅毒三病阻断防治等重大公共卫生经费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1798"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113"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755" w:type="dxa"/>
            <w:gridSpan w:val="3"/>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11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774"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024"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113"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4867"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50"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02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113"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1、全市孕产妇艾滋病、梅毒和乙肝检测率达100%，孕期检测率不低于90%，孕早期检测率不低于80%。</w:t>
            </w:r>
            <w:r>
              <w:rPr>
                <w:rFonts w:ascii="宋体" w:hAnsi="宋体" w:eastAsia="宋体" w:cs="宋体"/>
                <w:i w:val="0"/>
                <w:iCs w:val="0"/>
                <w:color w:val="000000"/>
                <w:kern w:val="0"/>
                <w:sz w:val="18"/>
                <w:szCs w:val="18"/>
                <w:u w:val="none"/>
                <w:lang w:val="en-US" w:eastAsia="zh-CN" w:bidi="ar"/>
              </w:rPr>
              <w:br w:type="textWrapping"/>
            </w:r>
            <w:r>
              <w:rPr>
                <w:rFonts w:ascii="宋体" w:hAnsi="宋体" w:eastAsia="宋体" w:cs="宋体"/>
                <w:i w:val="0"/>
                <w:iCs w:val="0"/>
                <w:color w:val="000000"/>
                <w:kern w:val="0"/>
                <w:sz w:val="18"/>
                <w:szCs w:val="18"/>
                <w:u w:val="none"/>
                <w:lang w:val="en-US" w:eastAsia="zh-CN" w:bidi="ar"/>
              </w:rPr>
              <w:t>2、艾滋病感染孕产妇抗病毒用药率达100%，孕早期用药率达90%以上；艾滋病感染孕产妇所生婴儿抗病毒用药率达100%，满6月龄儿童2次早期诊断率达90%，满18月龄儿童艾滋病抗体检测率达95%以上，确保年内不发生母婴阻断失败儿童个案。</w:t>
            </w:r>
            <w:r>
              <w:rPr>
                <w:rFonts w:ascii="宋体" w:hAnsi="宋体" w:eastAsia="宋体" w:cs="宋体"/>
                <w:i w:val="0"/>
                <w:iCs w:val="0"/>
                <w:color w:val="000000"/>
                <w:kern w:val="0"/>
                <w:sz w:val="18"/>
                <w:szCs w:val="18"/>
                <w:u w:val="none"/>
                <w:lang w:val="en-US" w:eastAsia="zh-CN" w:bidi="ar"/>
              </w:rPr>
              <w:br w:type="textWrapping"/>
            </w:r>
            <w:r>
              <w:rPr>
                <w:rFonts w:ascii="宋体" w:hAnsi="宋体" w:eastAsia="宋体" w:cs="宋体"/>
                <w:i w:val="0"/>
                <w:iCs w:val="0"/>
                <w:color w:val="000000"/>
                <w:kern w:val="0"/>
                <w:sz w:val="18"/>
                <w:szCs w:val="18"/>
                <w:u w:val="none"/>
                <w:lang w:val="en-US" w:eastAsia="zh-CN" w:bidi="ar"/>
              </w:rPr>
              <w:t>3、全市梅毒感染云偿付治疗率不低于95%，规范治疗率达80%以上。梅毒感染孕产妇所生儿童预防性治疗率不低于95%，先天梅毒报告发病率控制在15/10万以下。</w:t>
            </w:r>
            <w:r>
              <w:rPr>
                <w:rFonts w:ascii="宋体" w:hAnsi="宋体" w:eastAsia="宋体" w:cs="宋体"/>
                <w:i w:val="0"/>
                <w:iCs w:val="0"/>
                <w:color w:val="000000"/>
                <w:kern w:val="0"/>
                <w:sz w:val="18"/>
                <w:szCs w:val="18"/>
                <w:u w:val="none"/>
                <w:lang w:val="en-US" w:eastAsia="zh-CN" w:bidi="ar"/>
              </w:rPr>
              <w:br w:type="textWrapping"/>
            </w:r>
            <w:r>
              <w:rPr>
                <w:rFonts w:ascii="宋体" w:hAnsi="宋体" w:eastAsia="宋体" w:cs="宋体"/>
                <w:i w:val="0"/>
                <w:iCs w:val="0"/>
                <w:color w:val="000000"/>
                <w:kern w:val="0"/>
                <w:sz w:val="18"/>
                <w:szCs w:val="18"/>
                <w:u w:val="none"/>
                <w:lang w:val="en-US" w:eastAsia="zh-CN" w:bidi="ar"/>
              </w:rPr>
              <w:t>4、全市乙肝感染孕产妇所生儿童乙肝免疫球蛋白注射率确保达99%以上。</w:t>
            </w:r>
          </w:p>
        </w:tc>
        <w:tc>
          <w:tcPr>
            <w:tcW w:w="4867"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1、全市孕产妇艾滋病、梅毒和乙肝检测率达100%，孕期检测率不低于90%，孕早期检测率不低于80%。</w:t>
            </w:r>
            <w:r>
              <w:rPr>
                <w:rFonts w:hint="eastAsia" w:ascii="黑体" w:hAnsi="黑体" w:eastAsia="黑体" w:cs="黑体"/>
                <w:i w:val="0"/>
                <w:iCs w:val="0"/>
                <w:color w:val="000000"/>
                <w:kern w:val="0"/>
                <w:sz w:val="18"/>
                <w:szCs w:val="18"/>
                <w:u w:val="none"/>
                <w:lang w:val="en-US" w:eastAsia="zh-CN" w:bidi="ar"/>
              </w:rPr>
              <w:br w:type="textWrapping"/>
            </w:r>
            <w:r>
              <w:rPr>
                <w:rFonts w:hint="eastAsia" w:ascii="黑体" w:hAnsi="黑体" w:eastAsia="黑体" w:cs="黑体"/>
                <w:i w:val="0"/>
                <w:iCs w:val="0"/>
                <w:color w:val="000000"/>
                <w:kern w:val="0"/>
                <w:sz w:val="18"/>
                <w:szCs w:val="18"/>
                <w:u w:val="none"/>
                <w:lang w:val="en-US" w:eastAsia="zh-CN" w:bidi="ar"/>
              </w:rPr>
              <w:t>2、艾滋病感染孕产妇抗病毒用药率达100%，孕早期用药率达90%以上；艾滋病感染孕产妇所生婴儿抗病毒用药率达100%，满6月龄儿童2次早期诊断率达90%，满18月龄儿童艾滋病抗体检测率达95%以上，确保年内不发生母婴阻断失败儿童个案。</w:t>
            </w:r>
            <w:r>
              <w:rPr>
                <w:rFonts w:hint="eastAsia" w:ascii="黑体" w:hAnsi="黑体" w:eastAsia="黑体" w:cs="黑体"/>
                <w:i w:val="0"/>
                <w:iCs w:val="0"/>
                <w:color w:val="000000"/>
                <w:kern w:val="0"/>
                <w:sz w:val="18"/>
                <w:szCs w:val="18"/>
                <w:u w:val="none"/>
                <w:lang w:val="en-US" w:eastAsia="zh-CN" w:bidi="ar"/>
              </w:rPr>
              <w:br w:type="textWrapping"/>
            </w:r>
            <w:r>
              <w:rPr>
                <w:rFonts w:hint="eastAsia" w:ascii="黑体" w:hAnsi="黑体" w:eastAsia="黑体" w:cs="黑体"/>
                <w:i w:val="0"/>
                <w:iCs w:val="0"/>
                <w:color w:val="000000"/>
                <w:kern w:val="0"/>
                <w:sz w:val="18"/>
                <w:szCs w:val="18"/>
                <w:u w:val="none"/>
                <w:lang w:val="en-US" w:eastAsia="zh-CN" w:bidi="ar"/>
              </w:rPr>
              <w:t>3、全市梅毒感染云偿付治疗率不低于95%，规范治疗率达80%以上。梅毒感染孕产妇所生儿童预防性治疗率不低于95%，先天梅毒报告发病率控制在15/10万以下。</w:t>
            </w:r>
            <w:r>
              <w:rPr>
                <w:rFonts w:hint="eastAsia" w:ascii="黑体" w:hAnsi="黑体" w:eastAsia="黑体" w:cs="黑体"/>
                <w:i w:val="0"/>
                <w:iCs w:val="0"/>
                <w:color w:val="000000"/>
                <w:kern w:val="0"/>
                <w:sz w:val="18"/>
                <w:szCs w:val="18"/>
                <w:u w:val="none"/>
                <w:lang w:val="en-US" w:eastAsia="zh-CN" w:bidi="ar"/>
              </w:rPr>
              <w:br w:type="textWrapping"/>
            </w:r>
            <w:r>
              <w:rPr>
                <w:rFonts w:hint="eastAsia" w:ascii="黑体" w:hAnsi="黑体" w:eastAsia="黑体" w:cs="黑体"/>
                <w:i w:val="0"/>
                <w:iCs w:val="0"/>
                <w:color w:val="000000"/>
                <w:kern w:val="0"/>
                <w:sz w:val="18"/>
                <w:szCs w:val="18"/>
                <w:u w:val="none"/>
                <w:lang w:val="en-US" w:eastAsia="zh-CN" w:bidi="ar"/>
              </w:rPr>
              <w:t>4、全市乙肝感染孕产妇所生儿童乙肝免疫球蛋白注射率确保达99%以上。</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58"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98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通过实施工作培训和调研指导等，指导全市机构为孕产妇提供艾滋病、梅毒和乙肝检测，为艾滋病、梅毒和乙肝感染孕产妇提供免费预防母婴传播干预服务。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2" w:hRule="atLeast"/>
        </w:trPr>
        <w:tc>
          <w:tcPr>
            <w:tcW w:w="774"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2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7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8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2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w:t>
            </w: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1.12</w:t>
            </w:r>
          </w:p>
        </w:tc>
        <w:tc>
          <w:tcPr>
            <w:tcW w:w="17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22.40%</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7</w:t>
            </w:r>
          </w:p>
        </w:tc>
        <w:tc>
          <w:tcPr>
            <w:tcW w:w="187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按照年度计划，项目持续推进，2022年受疫情影响，线下培训改为线上培训。故未能达到90%的预算执行率，但完成年度计划。</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2"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2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5.00</w:t>
            </w: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1.12</w:t>
            </w:r>
          </w:p>
        </w:tc>
        <w:tc>
          <w:tcPr>
            <w:tcW w:w="17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22.40%</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2"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2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7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2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7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68"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2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7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7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5" w:hRule="atLeast"/>
        </w:trPr>
        <w:tc>
          <w:tcPr>
            <w:tcW w:w="774"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2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9"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248"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召开预防艾滋病母婴传播管理办公室工作会议</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场次</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3"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4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开展艾滋病防治工作督导</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批次</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4</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11"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4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开展全市预防艾滋病、乙肝、梅毒母婴传播疾病业务培训会</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场次</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6"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48"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培训合格率</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98</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4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质量控制率</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5"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业务培训会、工作会议、工作督导等完成时限</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月</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12</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58"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48"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开展艾滋病防治工作督导费用</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66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1.12</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4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宣传资料印刷费</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2"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4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培训会议费用</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4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工作会议费用</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25"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2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群众因患艾滋病、乙肝、梅毒母婴传播疾病造成经济损失</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高中低</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74"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三病阻断传播疾病的有效控制和发生率</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99</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99</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2"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可持续影响指标</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持续影响时间</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2" w:hRule="atLeast"/>
        </w:trPr>
        <w:tc>
          <w:tcPr>
            <w:tcW w:w="774"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124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广大群众对控制母婴传播疾病的满意度</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99</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99</w:t>
            </w:r>
          </w:p>
        </w:tc>
        <w:tc>
          <w:tcPr>
            <w:tcW w:w="4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2452"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6" w:hRule="atLeast"/>
        </w:trPr>
        <w:tc>
          <w:tcPr>
            <w:tcW w:w="7666"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8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97</w:t>
            </w:r>
          </w:p>
        </w:tc>
        <w:tc>
          <w:tcPr>
            <w:tcW w:w="18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58" w:hRule="atLeast"/>
        </w:trPr>
        <w:tc>
          <w:tcPr>
            <w:tcW w:w="7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10004"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全市孕产妇艾滋病、乙肝和梅毒孕早期检测，艾滋病感染孕产妇及所生儿童抗病毒用药率、梅毒感染孕产妇治疗率和规范治疗率等相关干预</w:t>
            </w:r>
            <w:r>
              <w:rPr>
                <w:rFonts w:hint="eastAsia" w:ascii="宋体" w:hAnsi="宋体" w:cs="宋体"/>
                <w:i w:val="0"/>
                <w:iCs w:val="0"/>
                <w:color w:val="000000"/>
                <w:kern w:val="0"/>
                <w:sz w:val="18"/>
                <w:szCs w:val="18"/>
                <w:u w:val="none"/>
                <w:lang w:val="en-US" w:eastAsia="zh-CN" w:bidi="ar"/>
              </w:rPr>
              <w:t>指标</w:t>
            </w:r>
            <w:r>
              <w:rPr>
                <w:rFonts w:ascii="宋体" w:hAnsi="宋体" w:eastAsia="宋体" w:cs="宋体"/>
                <w:i w:val="0"/>
                <w:iCs w:val="0"/>
                <w:color w:val="000000"/>
                <w:kern w:val="0"/>
                <w:sz w:val="18"/>
                <w:szCs w:val="18"/>
                <w:u w:val="none"/>
                <w:lang w:val="en-US" w:eastAsia="zh-CN" w:bidi="ar"/>
              </w:rPr>
              <w:t>不断提升，艾滋病母婴传播率如期实现控制目标，先天梅毒报告发生率稳步下降，顺利完成年度目标任务。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2" w:hRule="atLeast"/>
        </w:trPr>
        <w:tc>
          <w:tcPr>
            <w:tcW w:w="7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10004"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受新冠疫情影响，部分原计划线下培训工作转为线上培训，一定程度上影响资金执行进度。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2" w:hRule="atLeast"/>
        </w:trPr>
        <w:tc>
          <w:tcPr>
            <w:tcW w:w="77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10004"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结合相关工作要求，加快资金执行进度。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6" w:hRule="atLeast"/>
        </w:trPr>
        <w:tc>
          <w:tcPr>
            <w:tcW w:w="528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项目负责人：卢彦名</w:t>
            </w:r>
          </w:p>
        </w:tc>
        <w:tc>
          <w:tcPr>
            <w:tcW w:w="5497" w:type="dxa"/>
            <w:gridSpan w:val="7"/>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860" w:type="dxa"/>
        <w:tblInd w:w="-95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85"/>
        <w:gridCol w:w="1065"/>
        <w:gridCol w:w="1170"/>
        <w:gridCol w:w="1485"/>
        <w:gridCol w:w="735"/>
        <w:gridCol w:w="930"/>
        <w:gridCol w:w="690"/>
        <w:gridCol w:w="795"/>
        <w:gridCol w:w="570"/>
        <w:gridCol w:w="585"/>
        <w:gridCol w:w="195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1086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195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91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51190022T000004976172-城市公立医院改革政策性亏损补偿经费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195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01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795"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1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88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06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01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90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86"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01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1、执行公立医院改革的政策规定，医院药品全部实行零差率销售，以切实减轻患者负担，消除群众看病难、看病贵的现象，逐步实现公立医院改革目标。</w:t>
            </w:r>
            <w:r>
              <w:rPr>
                <w:rFonts w:ascii="宋体" w:hAnsi="宋体" w:eastAsia="宋体" w:cs="宋体"/>
                <w:i w:val="0"/>
                <w:iCs w:val="0"/>
                <w:color w:val="000000"/>
                <w:kern w:val="0"/>
                <w:sz w:val="18"/>
                <w:szCs w:val="18"/>
                <w:u w:val="none"/>
                <w:lang w:val="en-US" w:eastAsia="zh-CN" w:bidi="ar"/>
              </w:rPr>
              <w:br w:type="textWrapping"/>
            </w:r>
            <w:r>
              <w:rPr>
                <w:rFonts w:ascii="宋体" w:hAnsi="宋体" w:eastAsia="宋体" w:cs="宋体"/>
                <w:i w:val="0"/>
                <w:iCs w:val="0"/>
                <w:color w:val="000000"/>
                <w:kern w:val="0"/>
                <w:sz w:val="18"/>
                <w:szCs w:val="18"/>
                <w:u w:val="none"/>
                <w:lang w:val="en-US" w:eastAsia="zh-CN" w:bidi="ar"/>
              </w:rPr>
              <w:t>2、年度药品支出约640余万元，全部实行零差率销售，以切实减轻患者负担，完成公立医院改革年度目标任务。</w:t>
            </w:r>
          </w:p>
        </w:tc>
        <w:tc>
          <w:tcPr>
            <w:tcW w:w="390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1、执行公立医院改革的政策规定，医院药品全部实行零差率销售，以切实减轻患者负担，消除群众看病难、看病贵的现象，逐步实现公立医院改革目标。</w:t>
            </w:r>
            <w:r>
              <w:rPr>
                <w:rFonts w:hint="eastAsia" w:ascii="黑体" w:hAnsi="黑体" w:eastAsia="黑体" w:cs="黑体"/>
                <w:i w:val="0"/>
                <w:iCs w:val="0"/>
                <w:color w:val="000000"/>
                <w:kern w:val="0"/>
                <w:sz w:val="18"/>
                <w:szCs w:val="18"/>
                <w:u w:val="none"/>
                <w:lang w:val="en-US" w:eastAsia="zh-CN" w:bidi="ar"/>
              </w:rPr>
              <w:br w:type="textWrapping"/>
            </w:r>
            <w:r>
              <w:rPr>
                <w:rFonts w:hint="eastAsia" w:ascii="黑体" w:hAnsi="黑体" w:eastAsia="黑体" w:cs="黑体"/>
                <w:i w:val="0"/>
                <w:iCs w:val="0"/>
                <w:color w:val="000000"/>
                <w:kern w:val="0"/>
                <w:sz w:val="18"/>
                <w:szCs w:val="18"/>
                <w:u w:val="none"/>
                <w:lang w:val="en-US" w:eastAsia="zh-CN" w:bidi="ar"/>
              </w:rPr>
              <w:t>2、年度药品支出约640余万元，全部实行零差率销售，以切实减轻患者负担，完成公立医院改革年度目标任务。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3"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91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执行公立医院改革的政策规定，医院药品全部实行零差率销售，以切实减轻患者负担，消除群众看病难、看病贵的现象，逐步实现公立医院改革目标。年度药品支出约640余万元，全部实行零差率销售，以切实减轻患者负担，完成公立医院改革年度目标任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88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23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12.00</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12.00</w:t>
            </w:r>
          </w:p>
        </w:tc>
        <w:tc>
          <w:tcPr>
            <w:tcW w:w="23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12.00</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95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12.00</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12.00</w:t>
            </w:r>
          </w:p>
        </w:tc>
        <w:tc>
          <w:tcPr>
            <w:tcW w:w="23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12.00</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3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3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235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4" w:hRule="atLeast"/>
        </w:trPr>
        <w:tc>
          <w:tcPr>
            <w:tcW w:w="88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9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零差率销售药品金额</w:t>
            </w:r>
          </w:p>
        </w:tc>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650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662.43</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采购药品质量</w:t>
            </w:r>
          </w:p>
        </w:tc>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零差率销售药品时间</w:t>
            </w:r>
          </w:p>
        </w:tc>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9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优</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是否实行药品集中采购降低采购成本</w:t>
            </w:r>
          </w:p>
        </w:tc>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9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优</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药品采购成本</w:t>
            </w:r>
          </w:p>
        </w:tc>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650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662.43</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零差率销售药品。减轻患者负担金额</w:t>
            </w:r>
          </w:p>
        </w:tc>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群众对医改的认知度和社会影响力</w:t>
            </w:r>
          </w:p>
        </w:tc>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99</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99</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生态效益指标</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过期药品保障回收率</w:t>
            </w:r>
          </w:p>
        </w:tc>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近效期药品回收率</w:t>
            </w:r>
          </w:p>
        </w:tc>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3"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可持续影响指标</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持续影响力，以及是否符合公立医院综合改革长远目标</w:t>
            </w:r>
          </w:p>
        </w:tc>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9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优</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2"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1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患者满意度</w:t>
            </w:r>
          </w:p>
        </w:tc>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7755"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1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97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按照年度计划，项目研究持续推进中，本项目自评得分98分。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97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城市公立医院综合改革补助资金有待进一步提高。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97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增加城市公立医院综合改革补助资金。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1" w:hRule="atLeast"/>
        </w:trPr>
        <w:tc>
          <w:tcPr>
            <w:tcW w:w="534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项目负责人：张爱雯</w:t>
            </w:r>
          </w:p>
        </w:tc>
        <w:tc>
          <w:tcPr>
            <w:tcW w:w="5520"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760" w:type="dxa"/>
        <w:tblInd w:w="-92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13"/>
        <w:gridCol w:w="936"/>
        <w:gridCol w:w="1312"/>
        <w:gridCol w:w="1895"/>
        <w:gridCol w:w="485"/>
        <w:gridCol w:w="1020"/>
        <w:gridCol w:w="427"/>
        <w:gridCol w:w="1093"/>
        <w:gridCol w:w="558"/>
        <w:gridCol w:w="571"/>
        <w:gridCol w:w="95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1076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24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311"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51190022T000004987140-新冠疫情防控核酸检测经费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2449"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139"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093"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7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51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9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139"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172"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9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139"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保障我院2022年新冠肺炎防控中防疫人员所需核酸检测试剂耗材的供应</w:t>
            </w:r>
          </w:p>
        </w:tc>
        <w:tc>
          <w:tcPr>
            <w:tcW w:w="3172"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保障我院2022年新冠肺炎防控中防疫人员所需核酸检测试剂耗材的供应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5"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9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311"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疫情防控期间，积极提供防疫相关试剂盒耗材，耗材合格率100%，对社会产生了积极的影响，获得了广泛的满意度。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151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9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3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3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30.00</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30.00</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3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30.00</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30.00</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3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3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3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7" w:hRule="atLeast"/>
        </w:trPr>
        <w:tc>
          <w:tcPr>
            <w:tcW w:w="151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9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3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1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8681"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51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247"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自评总分100分，项目实施过程中，及时高效有力保障了我院对外疫情核酸检测试剂及耗材的供应工作，为我院疫情防控提供了有力的保障。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51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247"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51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247"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614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项目负责人：向秋容</w:t>
            </w:r>
          </w:p>
        </w:tc>
        <w:tc>
          <w:tcPr>
            <w:tcW w:w="4619"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756" w:type="dxa"/>
        <w:tblInd w:w="-92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35"/>
        <w:gridCol w:w="1170"/>
        <w:gridCol w:w="705"/>
        <w:gridCol w:w="1080"/>
        <w:gridCol w:w="1050"/>
        <w:gridCol w:w="630"/>
        <w:gridCol w:w="645"/>
        <w:gridCol w:w="960"/>
        <w:gridCol w:w="1177"/>
        <w:gridCol w:w="728"/>
        <w:gridCol w:w="187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10756"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90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851"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51190022T000005540383-20210092263-根据巴财社[2021]26号文，现下达你单位2021年重大传染病防控中央补助资金如数。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190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283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275" w:type="dxa"/>
            <w:gridSpan w:val="2"/>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4741"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7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17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283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6016"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5" w:hRule="atLeast"/>
        </w:trPr>
        <w:tc>
          <w:tcPr>
            <w:tcW w:w="7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283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提高全市预防艾滋病母婴传播工作能力和服务水平</w:t>
            </w:r>
          </w:p>
        </w:tc>
        <w:tc>
          <w:tcPr>
            <w:tcW w:w="6016"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推进孕情早发现机制建设，落实“逢孕必检”，强化感染育龄妇女，感染孕产妇及所生儿童专案管理，制定年度计划和规范性通知，开展工作培训，技术指导和个案评审等工作，稳步提升基层预防母婴传播工作服务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7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851"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通过项目实施，开展工作培训和调研指导等，指导各县区为全市孕产妇提供艾滋病、梅毒和乙肝检测，为艾滋病、梅毒和乙肝感染孕产妇提供免费预防母婴传播干预服务。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7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11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260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7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4.69</w:t>
            </w: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4.69</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4.25</w:t>
            </w: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90.43%</w:t>
            </w:r>
          </w:p>
        </w:tc>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1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604"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7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4.69</w:t>
            </w: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4.69</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4.25</w:t>
            </w: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90.43%</w:t>
            </w:r>
          </w:p>
        </w:tc>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60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4" w:hRule="atLeast"/>
        </w:trPr>
        <w:tc>
          <w:tcPr>
            <w:tcW w:w="7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60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7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60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7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27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60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7" w:hRule="atLeast"/>
        </w:trPr>
        <w:tc>
          <w:tcPr>
            <w:tcW w:w="7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11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7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8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7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1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7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87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6015" w:type="dxa"/>
            <w:gridSpan w:val="7"/>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9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17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260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10021"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全市孕产妇艾滋病、梅毒和乙肝孕早期检测，艾滋病感染孕产妇及所生儿童抗病毒用药率、梅毒感染孕产妇治疗率和规范治疗率等相关干预指标不断提升，艾滋病母婴传播率如期实现控制目标，先天梅毒报告发生率稳步下降，顺利完成年度目标任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10021"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受新冠疫情影响，部分原计划线下培训工作转为线上培训，一定程度上影响资金执行进度。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7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10021"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结合相关要求，加快资金执行进度。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474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项目负责人：卢彦名</w:t>
            </w:r>
          </w:p>
        </w:tc>
        <w:tc>
          <w:tcPr>
            <w:tcW w:w="6016"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760" w:type="dxa"/>
        <w:tblInd w:w="-92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13"/>
        <w:gridCol w:w="1308"/>
        <w:gridCol w:w="940"/>
        <w:gridCol w:w="1895"/>
        <w:gridCol w:w="485"/>
        <w:gridCol w:w="1020"/>
        <w:gridCol w:w="427"/>
        <w:gridCol w:w="1093"/>
        <w:gridCol w:w="558"/>
        <w:gridCol w:w="571"/>
        <w:gridCol w:w="95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0" w:hRule="atLeast"/>
        </w:trPr>
        <w:tc>
          <w:tcPr>
            <w:tcW w:w="1076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821"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7939"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51190022T000005540386-202100915556-根据巴财社[2021]87号文，现下达你单位2021年疫情防控和公共卫生应急处置省级补助资金如数。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2821"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767"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093"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7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1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308"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767"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172"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08"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767"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根据年初下达计划，均按时高效完成疫情期间耗材供应等相关目标</w:t>
            </w:r>
          </w:p>
        </w:tc>
        <w:tc>
          <w:tcPr>
            <w:tcW w:w="3172"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根据年初下达计划，均按时高效完成疫情期间耗材供应等相关目标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7939"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根据年初下达计划，均按时高效完成疫情期间耗材供应等相关目标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1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3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9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9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9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2.00</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9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9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9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32"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151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3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9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1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8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2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9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8681"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9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51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247"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自评总分100分，项目实施过程中，及时高效有力保障了我院对外疫情支援等后勤物资供应保障工作，为我院疫情防控医疗支援队伍按时出征提供了有力保障。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1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247"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51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247"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14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项目负责人：李海峰</w:t>
            </w:r>
          </w:p>
        </w:tc>
        <w:tc>
          <w:tcPr>
            <w:tcW w:w="4619"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760" w:type="dxa"/>
        <w:tblInd w:w="-89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65"/>
        <w:gridCol w:w="1365"/>
        <w:gridCol w:w="1315"/>
        <w:gridCol w:w="1899"/>
        <w:gridCol w:w="487"/>
        <w:gridCol w:w="1022"/>
        <w:gridCol w:w="428"/>
        <w:gridCol w:w="1095"/>
        <w:gridCol w:w="560"/>
        <w:gridCol w:w="572"/>
        <w:gridCol w:w="9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1076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243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33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51190022T000006772613-2022年医疗服务与保障能力提升（公立医院综合改革）中央补助资金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243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15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095"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84"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06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36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15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179"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7" w:hRule="atLeast"/>
        </w:trPr>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15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基本建立具有中国特色的权责清晰、管理科学、治理完善、运行高效、监督有力的现代医院管理制度，建立维护公益性、调动积极性、保障可持续的运行新机制和科学合理的补偿机制。</w:t>
            </w:r>
          </w:p>
        </w:tc>
        <w:tc>
          <w:tcPr>
            <w:tcW w:w="3179"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基本建立具有中国特色的权责清晰、管理科学、治理完善、运行高效、监督有力的现代医院管理制度，建立维护公益性、调动积极性、保障可持续的运行新机制和科学合理的补偿机制。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5" w:hRule="atLeast"/>
        </w:trPr>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33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基本建立具有中国特色的权责清晰、管理科学、治理完善、运行高效、监督有力的现代医院管理制度，建立维护公益性、调动积极性、保障可持续的运行新机制和科学合理的补偿机制。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106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3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3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3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250.00</w:t>
            </w:r>
          </w:p>
        </w:tc>
        <w:tc>
          <w:tcPr>
            <w:tcW w:w="193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250.00</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2"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3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250.00</w:t>
            </w:r>
          </w:p>
        </w:tc>
        <w:tc>
          <w:tcPr>
            <w:tcW w:w="193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250.00</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3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3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3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3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3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3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7" w:hRule="atLeast"/>
        </w:trPr>
        <w:tc>
          <w:tcPr>
            <w:tcW w:w="106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3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8676"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69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部门本年采购医用设备一批，设备均按期完成，且完成率100%；医疗设备均符合环保要求，科室满意度达100%。项目顺利竣工验收合格，顺利投运。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69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69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613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项目负责人：夏宇</w:t>
            </w:r>
          </w:p>
        </w:tc>
        <w:tc>
          <w:tcPr>
            <w:tcW w:w="4629"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700" w:type="dxa"/>
        <w:tblInd w:w="-87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46"/>
        <w:gridCol w:w="1350"/>
        <w:gridCol w:w="990"/>
        <w:gridCol w:w="1095"/>
        <w:gridCol w:w="629"/>
        <w:gridCol w:w="630"/>
        <w:gridCol w:w="780"/>
        <w:gridCol w:w="945"/>
        <w:gridCol w:w="690"/>
        <w:gridCol w:w="645"/>
        <w:gridCol w:w="200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1070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229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40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51190022T000006947590-关于下达2022年医疗服务与保障能力提升（卫生健康人才培养培训）省级补助资金的通知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3" w:hRule="atLeast"/>
        </w:trPr>
        <w:tc>
          <w:tcPr>
            <w:tcW w:w="229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124"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945"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33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94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35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124"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428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4" w:hRule="atLeast"/>
        </w:trPr>
        <w:tc>
          <w:tcPr>
            <w:tcW w:w="94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124"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提升妇幼健康人才培养质量和水平，加大培训力度，医疗水平不断提升，卫生健康人才队伍的专业结构不断优化。</w:t>
            </w:r>
          </w:p>
        </w:tc>
        <w:tc>
          <w:tcPr>
            <w:tcW w:w="428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提升妇幼健康人才培养质量和水平，加大培训力度，医疗水平不断提升，卫生健康人才队伍的专业结构不断优化。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4" w:hRule="atLeast"/>
        </w:trPr>
        <w:tc>
          <w:tcPr>
            <w:tcW w:w="94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40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提升妇幼健康人才培养质量和水平，加大培训力度，医疗水平不断提升，卫生健康人才队伍的专业结构不断优化。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3" w:hRule="atLeast"/>
        </w:trPr>
        <w:tc>
          <w:tcPr>
            <w:tcW w:w="94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3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9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203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20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94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9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2.40</w:t>
            </w:r>
          </w:p>
        </w:tc>
        <w:tc>
          <w:tcPr>
            <w:tcW w:w="203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1.95</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81.27%</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200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因预算执行计划于2023年7月结束，至2022年年末，计划执行时间尚未过半，故未能达到90%的预算执行率，但完成年度计划。</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3" w:hRule="atLeast"/>
        </w:trPr>
        <w:tc>
          <w:tcPr>
            <w:tcW w:w="94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9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2.40</w:t>
            </w:r>
          </w:p>
        </w:tc>
        <w:tc>
          <w:tcPr>
            <w:tcW w:w="203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1.95</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81.27%</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3" w:hRule="atLeast"/>
        </w:trPr>
        <w:tc>
          <w:tcPr>
            <w:tcW w:w="94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9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3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94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9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3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26" w:hRule="atLeast"/>
        </w:trPr>
        <w:tc>
          <w:tcPr>
            <w:tcW w:w="94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9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2039"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20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55" w:hRule="atLeast"/>
        </w:trPr>
        <w:tc>
          <w:tcPr>
            <w:tcW w:w="94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3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9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7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20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94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7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20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7365"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20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94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754"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提升妇幼健康人才培养培训质量和水平，加大培训力度，医疗水平不断提升，人才队伍专业结构不断优化。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94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754"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经费使用期按学年计算，预算执行率按自然年计算，存在跨年结转预算使用率低。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94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754"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加强考核力度。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501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项目负责人：彭长语</w:t>
            </w:r>
          </w:p>
        </w:tc>
        <w:tc>
          <w:tcPr>
            <w:tcW w:w="5690"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640" w:type="dxa"/>
        <w:tblInd w:w="-86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40"/>
        <w:gridCol w:w="1336"/>
        <w:gridCol w:w="1511"/>
        <w:gridCol w:w="1882"/>
        <w:gridCol w:w="482"/>
        <w:gridCol w:w="475"/>
        <w:gridCol w:w="660"/>
        <w:gridCol w:w="1389"/>
        <w:gridCol w:w="555"/>
        <w:gridCol w:w="567"/>
        <w:gridCol w:w="94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0" w:hRule="atLeast"/>
        </w:trPr>
        <w:tc>
          <w:tcPr>
            <w:tcW w:w="1064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1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46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51190022T000007060811-根据巴财建（2020）114号，转下达省预算内基本建设资金支出预算，专项用于市妇幼保健院恢复重建项目。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217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01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389"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6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33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01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454"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3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01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该项目分两个标段实施，一标段抗滑桩挡土墙工程已于2021年上半年全面完工，结算投资金额87万元；二标段为预防洪涝灾害泄洪管网工程，项目预估投资约100万元，于2021年12月开工建设，现即将全面完工。</w:t>
            </w:r>
          </w:p>
        </w:tc>
        <w:tc>
          <w:tcPr>
            <w:tcW w:w="3454"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该项目分两个标段实施，一标段抗滑桩挡土墙工程已于2021年上半年全面完工，结算投资金额87万元；二标段为预防洪涝灾害泄洪管网工程，项目预估投资约100万元，于2021年12月开工建设，现即将全面完工。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3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46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该项目分两个标段实施，一标段抗滑桩挡土墙工程已于2021年上半年全面完工，结算投资金额87万元；二标段为预防洪涝灾害泄洪管网工程，项目预估投资约100万元，于2021年12月开工建设，现即将全面完工。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3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5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8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61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38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4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5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76.30</w:t>
            </w:r>
          </w:p>
        </w:tc>
        <w:tc>
          <w:tcPr>
            <w:tcW w:w="161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76.30</w:t>
            </w:r>
          </w:p>
        </w:tc>
        <w:tc>
          <w:tcPr>
            <w:tcW w:w="138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43"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5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76.30</w:t>
            </w:r>
          </w:p>
        </w:tc>
        <w:tc>
          <w:tcPr>
            <w:tcW w:w="161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76.30</w:t>
            </w:r>
          </w:p>
        </w:tc>
        <w:tc>
          <w:tcPr>
            <w:tcW w:w="138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5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61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8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5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61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8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5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61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389"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3"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84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3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5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8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4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38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4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8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3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511"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8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8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89"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5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43"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8575"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943"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80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项目自评为100分，项目顺利竣工，顺利投运。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80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80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05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项目负责人：唐印红</w:t>
            </w:r>
          </w:p>
        </w:tc>
        <w:tc>
          <w:tcPr>
            <w:tcW w:w="4589"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680" w:type="dxa"/>
        <w:tblInd w:w="-87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70"/>
        <w:gridCol w:w="1185"/>
        <w:gridCol w:w="1275"/>
        <w:gridCol w:w="1440"/>
        <w:gridCol w:w="750"/>
        <w:gridCol w:w="780"/>
        <w:gridCol w:w="840"/>
        <w:gridCol w:w="1470"/>
        <w:gridCol w:w="556"/>
        <w:gridCol w:w="568"/>
        <w:gridCol w:w="94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0" w:hRule="atLeast"/>
        </w:trPr>
        <w:tc>
          <w:tcPr>
            <w:tcW w:w="1068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05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62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51190022T000007173699-市级核酸检测能力补短提能资金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205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08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470"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7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7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18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08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54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08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完成核酸检测设备的采购、安装、验收、人员培训等工作，保障我单位新冠病毒核酸检测工作全面开展，满足重点人群“应检尽检”、其他人群“愿检尽检”需求。</w:t>
            </w:r>
          </w:p>
        </w:tc>
        <w:tc>
          <w:tcPr>
            <w:tcW w:w="354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完成核酸检测设备的采购、安装、验收、人员培训等工作，保障我单位新冠病毒核酸检测工作全面开展，满足重点人群“应检尽检”、其他人群“愿检尽检”需求。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8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62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完成核酸检测设备的采购、安装、验收、人员培训等工作，保障我单位新冠病毒核酸检测工作全面开展，满足重点人群“应检尽检”、其他人群“愿检尽检”需求。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7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2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4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237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4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5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4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2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4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60.88</w:t>
            </w:r>
          </w:p>
        </w:tc>
        <w:tc>
          <w:tcPr>
            <w:tcW w:w="237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60.88</w:t>
            </w:r>
          </w:p>
        </w:tc>
        <w:tc>
          <w:tcPr>
            <w:tcW w:w="14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5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4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2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4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60.88</w:t>
            </w:r>
          </w:p>
        </w:tc>
        <w:tc>
          <w:tcPr>
            <w:tcW w:w="237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60.88</w:t>
            </w:r>
          </w:p>
        </w:tc>
        <w:tc>
          <w:tcPr>
            <w:tcW w:w="14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5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2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4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37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4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2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4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37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4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2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237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4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5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87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2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4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7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4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5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4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7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8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4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5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5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4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610"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5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6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946"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81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采购核酸检测PCR实验室设备一批，设备均按期完成，且完成率为100%；医疗设备均符合环保要求，科室满意度达100%。项目顺利竣工验收合格，顺利投运。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8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81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81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552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项目负责人：夏宇</w:t>
            </w:r>
          </w:p>
        </w:tc>
        <w:tc>
          <w:tcPr>
            <w:tcW w:w="5160"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680" w:type="dxa"/>
        <w:tblInd w:w="-87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85"/>
        <w:gridCol w:w="1065"/>
        <w:gridCol w:w="1110"/>
        <w:gridCol w:w="1245"/>
        <w:gridCol w:w="705"/>
        <w:gridCol w:w="616"/>
        <w:gridCol w:w="690"/>
        <w:gridCol w:w="1244"/>
        <w:gridCol w:w="705"/>
        <w:gridCol w:w="675"/>
        <w:gridCol w:w="17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0" w:hRule="atLeast"/>
        </w:trPr>
        <w:tc>
          <w:tcPr>
            <w:tcW w:w="1068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195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73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51190022T000007203085-应对巴中市大规模奥密克戎疫情处置专项经费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195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366"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244"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12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8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06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366"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4364"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06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366"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市妇幼保健院购置日核酸检测能力每日达到0.25万管3台扩增仪（每台24万元）及1台提取仪（每台28万元），需资金98万元（其中财政拨款资金49万元，单位资金49万元）。完成核酸设备的安装/验收/人员培训等工作，保障我单位奥密克戎疫情处置工作全面开展。</w:t>
            </w:r>
          </w:p>
        </w:tc>
        <w:tc>
          <w:tcPr>
            <w:tcW w:w="4364"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市妇幼保健院购置日核酸检测能力每日达到0.25万管3台扩增仪（每台24万元）及1台提取仪（每台28万元），需资金98万元（其中财政拨款资金49万元，单位资金49万元）。完成核酸设备的安装/验收/人员培训等工作，保障我单位奥密克戎疫情处置工作全面开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73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市妇幼保健院购置日核酸检测能力每日达到0.25万管3台扩增仪（每台24万元）及1台提取仪（每台28万元），需资金98万元（其中财政拨款资金49万元，单位资金49万元）。完成核酸设备的安装/验收/人员培训等工作，保障我单位奥密克戎疫情处置工作全面开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8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2011"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2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7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49.00</w:t>
            </w:r>
          </w:p>
        </w:tc>
        <w:tc>
          <w:tcPr>
            <w:tcW w:w="2011"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49.00</w:t>
            </w:r>
          </w:p>
        </w:tc>
        <w:tc>
          <w:tcPr>
            <w:tcW w:w="12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4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49.00</w:t>
            </w:r>
          </w:p>
        </w:tc>
        <w:tc>
          <w:tcPr>
            <w:tcW w:w="2011"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49.00</w:t>
            </w:r>
          </w:p>
        </w:tc>
        <w:tc>
          <w:tcPr>
            <w:tcW w:w="12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7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1"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7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011"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7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2011"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2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74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88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6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2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7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8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6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4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7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560"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7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79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采购核酸检测PCR实验室设备一批，设备均按期完成，且完成率为100%；医疗设备均符合环保要求，科室满意度达100%。项目顺利竣工验收合格，顺利投运。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79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8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79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501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项目负责人：夏宇</w:t>
            </w:r>
          </w:p>
        </w:tc>
        <w:tc>
          <w:tcPr>
            <w:tcW w:w="5670"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760" w:type="dxa"/>
        <w:tblInd w:w="-89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35"/>
        <w:gridCol w:w="1215"/>
        <w:gridCol w:w="1185"/>
        <w:gridCol w:w="1170"/>
        <w:gridCol w:w="705"/>
        <w:gridCol w:w="1050"/>
        <w:gridCol w:w="660"/>
        <w:gridCol w:w="1245"/>
        <w:gridCol w:w="675"/>
        <w:gridCol w:w="630"/>
        <w:gridCol w:w="11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06" w:hRule="atLeast"/>
        </w:trPr>
        <w:tc>
          <w:tcPr>
            <w:tcW w:w="1076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225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51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51190022Y000000342585-食堂运行经费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4" w:hRule="atLeast"/>
        </w:trPr>
        <w:tc>
          <w:tcPr>
            <w:tcW w:w="225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77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245"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49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21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77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74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00"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2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77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1.通过职工食堂提供便利、安全卫生的进餐环境，保障职工能按时进餐。</w:t>
            </w:r>
            <w:r>
              <w:rPr>
                <w:rFonts w:ascii="宋体" w:hAnsi="宋体" w:eastAsia="宋体" w:cs="宋体"/>
                <w:i w:val="0"/>
                <w:iCs w:val="0"/>
                <w:color w:val="000000"/>
                <w:kern w:val="0"/>
                <w:sz w:val="18"/>
                <w:szCs w:val="18"/>
                <w:u w:val="none"/>
                <w:lang w:val="en-US" w:eastAsia="zh-CN" w:bidi="ar"/>
              </w:rPr>
              <w:br w:type="textWrapping"/>
            </w:r>
            <w:r>
              <w:rPr>
                <w:rFonts w:ascii="宋体" w:hAnsi="宋体" w:eastAsia="宋体" w:cs="宋体"/>
                <w:i w:val="0"/>
                <w:iCs w:val="0"/>
                <w:color w:val="000000"/>
                <w:kern w:val="0"/>
                <w:sz w:val="18"/>
                <w:szCs w:val="18"/>
                <w:u w:val="none"/>
                <w:lang w:val="en-US" w:eastAsia="zh-CN" w:bidi="ar"/>
              </w:rPr>
              <w:t>2.通过单位食堂保障提升职工身体素质，令职工有较高的获得感、满足感，使医疗工作无后顾之忧。</w:t>
            </w:r>
          </w:p>
        </w:tc>
        <w:tc>
          <w:tcPr>
            <w:tcW w:w="374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1.通过职工食堂提供便利、安全卫生的进餐环境，保障职工能按时进餐。</w:t>
            </w:r>
            <w:r>
              <w:rPr>
                <w:rFonts w:hint="eastAsia" w:ascii="黑体" w:hAnsi="黑体" w:eastAsia="黑体" w:cs="黑体"/>
                <w:i w:val="0"/>
                <w:iCs w:val="0"/>
                <w:color w:val="000000"/>
                <w:kern w:val="0"/>
                <w:sz w:val="18"/>
                <w:szCs w:val="18"/>
                <w:u w:val="none"/>
                <w:lang w:val="en-US" w:eastAsia="zh-CN" w:bidi="ar"/>
              </w:rPr>
              <w:br w:type="textWrapping"/>
            </w:r>
            <w:r>
              <w:rPr>
                <w:rFonts w:hint="eastAsia" w:ascii="黑体" w:hAnsi="黑体" w:eastAsia="黑体" w:cs="黑体"/>
                <w:i w:val="0"/>
                <w:iCs w:val="0"/>
                <w:color w:val="000000"/>
                <w:kern w:val="0"/>
                <w:sz w:val="18"/>
                <w:szCs w:val="18"/>
                <w:u w:val="none"/>
                <w:lang w:val="en-US" w:eastAsia="zh-CN" w:bidi="ar"/>
              </w:rPr>
              <w:t>2.通过单位食堂保障提升职工身体素质，令职工有较高的获得感、满足感，使医疗工作无后顾之忧。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2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51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通过职工食堂提供便利、安全卫生的进餐环境，保障职工能按时进餐。通过单位食堂保障提升职工身体素质，令职工有较高的获得感、满足感，使医疗工作无后顾之忧。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6" w:hRule="atLeast"/>
        </w:trPr>
        <w:tc>
          <w:tcPr>
            <w:tcW w:w="10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2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241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1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11.76</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11.76</w:t>
            </w:r>
          </w:p>
        </w:tc>
        <w:tc>
          <w:tcPr>
            <w:tcW w:w="241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11.76</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19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4"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11.76</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11.76</w:t>
            </w:r>
          </w:p>
        </w:tc>
        <w:tc>
          <w:tcPr>
            <w:tcW w:w="241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11.76</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9"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41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41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241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1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3" w:hRule="atLeast"/>
        </w:trPr>
        <w:tc>
          <w:tcPr>
            <w:tcW w:w="10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2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1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1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运转天数</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365</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天</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365</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1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4"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饭菜质量</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良</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1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91"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及时性</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高中低</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高</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1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6"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资金成本</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11.76</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11.76</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1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9"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安全指标</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食品安全</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优</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1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4"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成本节约</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良</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1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6" w:hRule="atLeast"/>
        </w:trPr>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11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职工满意度</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6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2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1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8265"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1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4" w:hRule="atLeast"/>
        </w:trPr>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72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72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trPr>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72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1" w:hRule="atLeast"/>
        </w:trPr>
        <w:tc>
          <w:tcPr>
            <w:tcW w:w="531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项目负责人：李海峰</w:t>
            </w:r>
          </w:p>
        </w:tc>
        <w:tc>
          <w:tcPr>
            <w:tcW w:w="5450"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720" w:type="dxa"/>
        <w:tblInd w:w="-89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915"/>
        <w:gridCol w:w="1200"/>
        <w:gridCol w:w="1005"/>
        <w:gridCol w:w="1290"/>
        <w:gridCol w:w="600"/>
        <w:gridCol w:w="510"/>
        <w:gridCol w:w="795"/>
        <w:gridCol w:w="1200"/>
        <w:gridCol w:w="705"/>
        <w:gridCol w:w="675"/>
        <w:gridCol w:w="182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6" w:hRule="atLeast"/>
        </w:trPr>
        <w:tc>
          <w:tcPr>
            <w:tcW w:w="1072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21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60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51190022Y000000342586-党建经费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1" w:hRule="atLeast"/>
        </w:trPr>
        <w:tc>
          <w:tcPr>
            <w:tcW w:w="211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20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200"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2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1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20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20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4405"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17"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2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20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为加强和改进</w:t>
            </w:r>
            <w:r>
              <w:rPr>
                <w:rFonts w:hint="eastAsia" w:ascii="宋体" w:hAnsi="宋体" w:cs="宋体"/>
                <w:i w:val="0"/>
                <w:iCs w:val="0"/>
                <w:color w:val="000000"/>
                <w:kern w:val="0"/>
                <w:sz w:val="18"/>
                <w:szCs w:val="18"/>
                <w:u w:val="none"/>
                <w:lang w:val="en-US" w:eastAsia="zh-CN" w:bidi="ar"/>
              </w:rPr>
              <w:t>新形势下</w:t>
            </w:r>
            <w:r>
              <w:rPr>
                <w:rFonts w:ascii="宋体" w:hAnsi="宋体" w:eastAsia="宋体" w:cs="宋体"/>
                <w:i w:val="0"/>
                <w:iCs w:val="0"/>
                <w:color w:val="000000"/>
                <w:kern w:val="0"/>
                <w:sz w:val="18"/>
                <w:szCs w:val="18"/>
                <w:u w:val="none"/>
                <w:lang w:val="en-US" w:eastAsia="zh-CN" w:bidi="ar"/>
              </w:rPr>
              <w:t>党的建设，根据有关规定，为深入学习贯彻习近平新时代中国特色社会主义思想，进一步落实新时代党的建设总要求，深入推进党建示范创建、质量创优，切实推动基层党组织全面进步、全面过硬，常态化、制度化，夯实党建基础。以党建为引领，加强文化和支部建设。</w:t>
            </w:r>
          </w:p>
        </w:tc>
        <w:tc>
          <w:tcPr>
            <w:tcW w:w="4405"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为加强和改进新形势下党的建设，根据有关规定，为深入学习贯彻习近平新时代中国特色社会主义思想，进一步落实新时代党的建设总要求，深入推进党建示范创建、质量创优，切实推动基层党组织全面进步、全面过硬，常态化、制度化，夯实党建基础。以党建为引领，加强文化和支部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4"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60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为加强和改进</w:t>
            </w:r>
            <w:r>
              <w:rPr>
                <w:rFonts w:hint="eastAsia" w:ascii="宋体" w:hAnsi="宋体" w:cs="宋体"/>
                <w:i w:val="0"/>
                <w:iCs w:val="0"/>
                <w:color w:val="000000"/>
                <w:kern w:val="0"/>
                <w:sz w:val="18"/>
                <w:szCs w:val="18"/>
                <w:u w:val="none"/>
                <w:lang w:val="en-US" w:eastAsia="zh-CN" w:bidi="ar"/>
              </w:rPr>
              <w:t>新形势下</w:t>
            </w:r>
            <w:r>
              <w:rPr>
                <w:rFonts w:ascii="宋体" w:hAnsi="宋体" w:eastAsia="宋体" w:cs="宋体"/>
                <w:i w:val="0"/>
                <w:iCs w:val="0"/>
                <w:color w:val="000000"/>
                <w:kern w:val="0"/>
                <w:sz w:val="18"/>
                <w:szCs w:val="18"/>
                <w:u w:val="none"/>
                <w:lang w:val="en-US" w:eastAsia="zh-CN" w:bidi="ar"/>
              </w:rPr>
              <w:t>党的建设，根据有关规定，为深入学习贯彻习近平新时代中国特色社会主义思想，进一步落实新时代党的建设总要求，深入推进党建示范创建、质量创优，切实推动基层党组织全面进步、全面过硬，常态化、制度化，夯实党建基础。以党建为引领，加强文化和支部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6" w:hRule="atLeast"/>
        </w:trPr>
        <w:tc>
          <w:tcPr>
            <w:tcW w:w="91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4.90</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4.90</w:t>
            </w:r>
          </w:p>
        </w:tc>
        <w:tc>
          <w:tcPr>
            <w:tcW w:w="19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3.93</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80.23%</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w:t>
            </w:r>
          </w:p>
        </w:tc>
        <w:tc>
          <w:tcPr>
            <w:tcW w:w="182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按照年度计划，项目持续推进，2022年受疫情影响，线下培训改为线上培训。故未能达到90%的预算执行率，但完成年度计划。</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6"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4.90</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4.90</w:t>
            </w:r>
          </w:p>
        </w:tc>
        <w:tc>
          <w:tcPr>
            <w:tcW w:w="19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3.93</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80.23%</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2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6"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2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2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4"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0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2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42" w:hRule="atLeast"/>
        </w:trPr>
        <w:tc>
          <w:tcPr>
            <w:tcW w:w="91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6"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00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观看爱国主义教育电影</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场次</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开展党建工作，活动。</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次</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4</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开展党建工作，活动完成率</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0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项目完成时间</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2022</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2022</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资金预算执行率</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80.23%</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6"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0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支部开展活动费用</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4.5</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120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3.93</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6"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观看爱国主义教育电影费用</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0.4</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12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对工作的促进作用</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可持续影响指标</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对工作的促进作用</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6"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10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12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党建工作满意度</w:t>
            </w:r>
          </w:p>
        </w:tc>
        <w:tc>
          <w:tcPr>
            <w:tcW w:w="6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7515"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7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18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80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80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80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8" w:hRule="atLeast"/>
        </w:trPr>
        <w:tc>
          <w:tcPr>
            <w:tcW w:w="501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项目负责人：李建国</w:t>
            </w:r>
          </w:p>
        </w:tc>
        <w:tc>
          <w:tcPr>
            <w:tcW w:w="5710"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760" w:type="dxa"/>
        <w:tblInd w:w="-89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06"/>
        <w:gridCol w:w="1110"/>
        <w:gridCol w:w="1629"/>
        <w:gridCol w:w="1899"/>
        <w:gridCol w:w="487"/>
        <w:gridCol w:w="1022"/>
        <w:gridCol w:w="428"/>
        <w:gridCol w:w="1095"/>
        <w:gridCol w:w="560"/>
        <w:gridCol w:w="572"/>
        <w:gridCol w:w="95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9" w:hRule="atLeast"/>
        </w:trPr>
        <w:tc>
          <w:tcPr>
            <w:tcW w:w="1076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211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64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51190022Y000004775456-职工体检费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9" w:hRule="atLeast"/>
        </w:trPr>
        <w:tc>
          <w:tcPr>
            <w:tcW w:w="2116"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546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095"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084"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100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11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546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179"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6"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546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通过定期体检，让单位职工对自己的身体状况及时了解，有问题早发现、早治疗，不要把小病拖成大病，延误最佳治疗时间，影响生活和工作。减少干部职工因工作任务繁重，工作压力较大，精神过度紧张等因素导致疾病的发生；让单位职工了解健康状况，做到早发现、早治疗，无病早预防。并有针对性地开展健康教育、健康促进活动，使干部职工树立正确的健康观念，不断提高保健意识。健康体检</w:t>
            </w:r>
            <w:r>
              <w:rPr>
                <w:rFonts w:hint="eastAsia" w:ascii="宋体" w:hAnsi="宋体" w:cs="宋体"/>
                <w:i w:val="0"/>
                <w:iCs w:val="0"/>
                <w:color w:val="000000"/>
                <w:kern w:val="0"/>
                <w:sz w:val="18"/>
                <w:szCs w:val="18"/>
                <w:u w:val="none"/>
                <w:lang w:val="en-US" w:eastAsia="zh-CN" w:bidi="ar"/>
              </w:rPr>
              <w:t>是</w:t>
            </w:r>
            <w:r>
              <w:rPr>
                <w:rFonts w:ascii="宋体" w:hAnsi="宋体" w:eastAsia="宋体" w:cs="宋体"/>
                <w:i w:val="0"/>
                <w:iCs w:val="0"/>
                <w:color w:val="000000"/>
                <w:kern w:val="0"/>
                <w:sz w:val="18"/>
                <w:szCs w:val="18"/>
                <w:u w:val="none"/>
                <w:lang w:val="en-US" w:eastAsia="zh-CN" w:bidi="ar"/>
              </w:rPr>
              <w:t>对身体健康状况的一次清理，对一些大的疾病可以进行筛查。</w:t>
            </w:r>
          </w:p>
        </w:tc>
        <w:tc>
          <w:tcPr>
            <w:tcW w:w="3179"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通过定期体检，让单位职工对自己的身体状况及时了解，有问题早发现、早治疗，不要把小病拖成大病，延误最佳治疗时间，影响生活和工作。减少干部职工因工作任务繁重，工作压力较大，精神过度紧张等因素导致疾病的发生；让单位职工了解健康状况，做到早发现、早治疗，无病早预防。并有针对性地开展健康教育、健康促进活动，使干部职工树立正确的健康观念，不断提高保健意识。健康体检是对身体健康状况的一次清理，对一些大的疾病可以进行筛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08"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644"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通过定期体检，让单位职工对自己的身体状况及时了解，有问题早发现、早治疗，不要把小病拖成大病，延误最佳治疗时间，影响生活和工作。减少干部职工因工作任务繁重，工作压力较大，精神过度紧张等因素导致疾病的发生；让单位职工了解健康状况，做到早发现、早治疗，无病早预防。并有针对性地开展健康教育、健康促进活动，使干部职工树立正确的健康观念，不断提高保健意识。健康体检</w:t>
            </w:r>
            <w:r>
              <w:rPr>
                <w:rFonts w:hint="eastAsia" w:ascii="宋体" w:hAnsi="宋体" w:cs="宋体"/>
                <w:i w:val="0"/>
                <w:iCs w:val="0"/>
                <w:color w:val="000000"/>
                <w:kern w:val="0"/>
                <w:sz w:val="18"/>
                <w:szCs w:val="18"/>
                <w:u w:val="none"/>
                <w:lang w:val="en-US" w:eastAsia="zh-CN" w:bidi="ar"/>
              </w:rPr>
              <w:t>是</w:t>
            </w:r>
            <w:r>
              <w:rPr>
                <w:rFonts w:ascii="宋体" w:hAnsi="宋体" w:eastAsia="宋体" w:cs="宋体"/>
                <w:i w:val="0"/>
                <w:iCs w:val="0"/>
                <w:color w:val="000000"/>
                <w:kern w:val="0"/>
                <w:sz w:val="18"/>
                <w:szCs w:val="18"/>
                <w:u w:val="none"/>
                <w:lang w:val="en-US" w:eastAsia="zh-CN" w:bidi="ar"/>
              </w:rPr>
              <w:t>对身体健康状况的一次清理，对一些大的疾病可以进行筛查。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9" w:hRule="atLeast"/>
        </w:trPr>
        <w:tc>
          <w:tcPr>
            <w:tcW w:w="100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93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10.80</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10.80</w:t>
            </w:r>
          </w:p>
        </w:tc>
        <w:tc>
          <w:tcPr>
            <w:tcW w:w="193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8.78</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81.31%</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w:t>
            </w:r>
          </w:p>
        </w:tc>
        <w:tc>
          <w:tcPr>
            <w:tcW w:w="952"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项目已实施，于2023年完成报账处理。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9"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10.80</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10.80</w:t>
            </w:r>
          </w:p>
        </w:tc>
        <w:tc>
          <w:tcPr>
            <w:tcW w:w="193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8.78</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81.31%</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9"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3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93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937"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5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08" w:hRule="atLeast"/>
        </w:trPr>
        <w:tc>
          <w:tcPr>
            <w:tcW w:w="1006"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10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数量指标</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约50人</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50</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人</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50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完成体检规定项目</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完成时限</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2022</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2022</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9"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在职人员2000元/人年以内、退休人员1000/人年以内</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40</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经济效益指标</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减少职工疾病发生</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90</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可持续发展指标</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项目可持续性</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可持续影响指标</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提前了解身体健康状况</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95</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95</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9" w:hRule="atLeast"/>
        </w:trPr>
        <w:tc>
          <w:tcPr>
            <w:tcW w:w="1006"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162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18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单位职工满意度</w:t>
            </w:r>
          </w:p>
        </w:tc>
        <w:tc>
          <w:tcPr>
            <w:tcW w:w="48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2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42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0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8676"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6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7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9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 w:hRule="atLeast"/>
        </w:trPr>
        <w:tc>
          <w:tcPr>
            <w:tcW w:w="10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754"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10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754"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0" w:hRule="atLeast"/>
        </w:trPr>
        <w:tc>
          <w:tcPr>
            <w:tcW w:w="10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754"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trPr>
        <w:tc>
          <w:tcPr>
            <w:tcW w:w="6131"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项目负责人：李建国</w:t>
            </w:r>
          </w:p>
        </w:tc>
        <w:tc>
          <w:tcPr>
            <w:tcW w:w="4629"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660" w:type="dxa"/>
        <w:tblInd w:w="-84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70"/>
        <w:gridCol w:w="1200"/>
        <w:gridCol w:w="1316"/>
        <w:gridCol w:w="1888"/>
        <w:gridCol w:w="484"/>
        <w:gridCol w:w="497"/>
        <w:gridCol w:w="465"/>
        <w:gridCol w:w="810"/>
        <w:gridCol w:w="585"/>
        <w:gridCol w:w="555"/>
        <w:gridCol w:w="16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1066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237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29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51190023T000007832716-2022年医疗服务与保障能力提升（公立医院综合改革）中央补助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237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6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810"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83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17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20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6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64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5" w:hRule="atLeast"/>
        </w:trPr>
        <w:tc>
          <w:tcPr>
            <w:tcW w:w="11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20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6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深入推广三明医改经验，持续深化公立医院综合改革，推动公立医院高质量发展，加快健全现代医院管理制度。</w:t>
            </w:r>
          </w:p>
        </w:tc>
        <w:tc>
          <w:tcPr>
            <w:tcW w:w="364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深入推广三明医改经验，持续深化公立医院综合改革，推动公立医院高质量发展，加快健全现代医院管理制度。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5" w:hRule="atLeast"/>
        </w:trPr>
        <w:tc>
          <w:tcPr>
            <w:tcW w:w="11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29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深入推广三明医改经验，持续深化公立医院综合改革，推动公立医院高质量发展，加快健全现代医院管理制度。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trPr>
        <w:tc>
          <w:tcPr>
            <w:tcW w:w="117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8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144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1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15.00</w:t>
            </w:r>
          </w:p>
        </w:tc>
        <w:tc>
          <w:tcPr>
            <w:tcW w:w="144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9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iCs/>
                <w:color w:val="000000"/>
                <w:sz w:val="18"/>
                <w:szCs w:val="18"/>
                <w:u w:val="none"/>
              </w:rPr>
            </w:pPr>
            <w:r>
              <w:rPr>
                <w:rFonts w:hint="eastAsia" w:ascii="黑体" w:hAnsi="黑体" w:eastAsia="黑体" w:cs="黑体"/>
                <w:i/>
                <w:iCs/>
                <w:color w:val="000000"/>
                <w:kern w:val="0"/>
                <w:sz w:val="18"/>
                <w:szCs w:val="18"/>
                <w:u w:val="none"/>
                <w:lang w:val="en-US" w:eastAsia="zh-CN" w:bidi="ar"/>
              </w:rPr>
              <w:t>该项目于2022年11月3日下达资金，项目已实施，于2023年完成报账处理。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4" w:hRule="atLeast"/>
        </w:trPr>
        <w:tc>
          <w:tcPr>
            <w:tcW w:w="11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15.00</w:t>
            </w:r>
          </w:p>
        </w:tc>
        <w:tc>
          <w:tcPr>
            <w:tcW w:w="144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4" w:hRule="atLeast"/>
        </w:trPr>
        <w:tc>
          <w:tcPr>
            <w:tcW w:w="11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44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2" w:hRule="atLeast"/>
        </w:trPr>
        <w:tc>
          <w:tcPr>
            <w:tcW w:w="11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8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44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1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8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446"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69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7" w:hRule="atLeast"/>
        </w:trPr>
        <w:tc>
          <w:tcPr>
            <w:tcW w:w="117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8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4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4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4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17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16"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888"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84"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97"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4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7830"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8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49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按照年度计划，项目持续推进。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49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资金使用率较低，下达时间较晚。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2" w:hRule="atLeast"/>
        </w:trPr>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490"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推进项目执行进度，加快资金使用，及时进行经费报销流程。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2" w:hRule="atLeast"/>
        </w:trPr>
        <w:tc>
          <w:tcPr>
            <w:tcW w:w="6058"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项目负责人：彭长语</w:t>
            </w:r>
          </w:p>
        </w:tc>
        <w:tc>
          <w:tcPr>
            <w:tcW w:w="4602"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640" w:type="dxa"/>
        <w:tblInd w:w="-83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961"/>
        <w:gridCol w:w="1199"/>
        <w:gridCol w:w="1035"/>
        <w:gridCol w:w="1395"/>
        <w:gridCol w:w="690"/>
        <w:gridCol w:w="810"/>
        <w:gridCol w:w="720"/>
        <w:gridCol w:w="945"/>
        <w:gridCol w:w="555"/>
        <w:gridCol w:w="525"/>
        <w:gridCol w:w="180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1064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216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48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51190023T000007834296-巴中市妇幼保健院（二）期专项债务收入项目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2160"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46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945"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288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199"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46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383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9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465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为保障医院正常运转，特申请市财政局将该笔专项债务收入安排为单位支出。</w:t>
            </w:r>
          </w:p>
        </w:tc>
        <w:tc>
          <w:tcPr>
            <w:tcW w:w="3830"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为保障医院正常运转，特申请市财政局将该笔专项债务收入安排为单位支出。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2"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480"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为保障医院正常运转，特申请市财政局将该笔专项债务收入安排为单位支出。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96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1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222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995.82</w:t>
            </w:r>
          </w:p>
        </w:tc>
        <w:tc>
          <w:tcPr>
            <w:tcW w:w="222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995.82</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0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995.82</w:t>
            </w:r>
          </w:p>
        </w:tc>
        <w:tc>
          <w:tcPr>
            <w:tcW w:w="222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995.82</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22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22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222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80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2" w:hRule="atLeast"/>
        </w:trPr>
        <w:tc>
          <w:tcPr>
            <w:tcW w:w="96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1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产出指标</w:t>
            </w:r>
          </w:p>
        </w:tc>
        <w:tc>
          <w:tcPr>
            <w:tcW w:w="10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质量指标</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资金到位率</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建筑质量是否合格</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100</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15</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时效指标</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工期</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365</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天</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365</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效益指标</w:t>
            </w:r>
          </w:p>
        </w:tc>
        <w:tc>
          <w:tcPr>
            <w:tcW w:w="10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社会效益指标</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患者医疗条件明显改善</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良</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节约周边地区患者就医成本</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良</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缓解医疗服务供求不平衡</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良</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深化信息管理</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良</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63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生态效益指标</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改善医疗服务环境</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良</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可持续影响指标</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保障了患者的身体健康</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良</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优化医疗服务硬件设施</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定性</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优良中低差</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良</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满意度指标</w:t>
            </w:r>
          </w:p>
        </w:tc>
        <w:tc>
          <w:tcPr>
            <w:tcW w:w="10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服务对象满意度指标</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群众患者满意度</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98</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0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医护人员满意度</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98</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98</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trPr>
        <w:tc>
          <w:tcPr>
            <w:tcW w:w="96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9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成本指标</w:t>
            </w:r>
          </w:p>
        </w:tc>
        <w:tc>
          <w:tcPr>
            <w:tcW w:w="103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经济成本指标</w:t>
            </w:r>
          </w:p>
        </w:tc>
        <w:tc>
          <w:tcPr>
            <w:tcW w:w="13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专项债券利息</w:t>
            </w:r>
          </w:p>
        </w:tc>
        <w:tc>
          <w:tcPr>
            <w:tcW w:w="6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52</w:t>
            </w:r>
          </w:p>
        </w:tc>
        <w:tc>
          <w:tcPr>
            <w:tcW w:w="72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万元</w:t>
            </w:r>
          </w:p>
        </w:tc>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微软雅黑" w:hAnsi="微软雅黑" w:eastAsia="微软雅黑" w:cs="微软雅黑"/>
                <w:i/>
                <w:iCs/>
                <w:color w:val="000000"/>
                <w:sz w:val="16"/>
                <w:szCs w:val="16"/>
                <w:u w:val="none"/>
              </w:rPr>
            </w:pPr>
            <w:r>
              <w:rPr>
                <w:rFonts w:hint="eastAsia" w:ascii="微软雅黑" w:hAnsi="微软雅黑" w:eastAsia="微软雅黑" w:cs="微软雅黑"/>
                <w:i/>
                <w:iCs/>
                <w:color w:val="000000"/>
                <w:kern w:val="0"/>
                <w:sz w:val="16"/>
                <w:szCs w:val="16"/>
                <w:u w:val="none"/>
                <w:lang w:val="en-US" w:eastAsia="zh-CN" w:bidi="ar"/>
              </w:rPr>
              <w:t>52</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21" w:hRule="atLeast"/>
        </w:trPr>
        <w:tc>
          <w:tcPr>
            <w:tcW w:w="7755"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5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52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805"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679"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为保障医院正常运转，特申请市财政局将该笔专项债务收入安排为单位支出。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679"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96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679"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1" w:hRule="atLeast"/>
        </w:trPr>
        <w:tc>
          <w:tcPr>
            <w:tcW w:w="528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项目负责人：高询杰</w:t>
            </w:r>
          </w:p>
        </w:tc>
        <w:tc>
          <w:tcPr>
            <w:tcW w:w="5360"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tbl>
      <w:tblPr>
        <w:tblStyle w:val="14"/>
        <w:tblW w:w="10620" w:type="dxa"/>
        <w:tblInd w:w="-816"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15"/>
        <w:gridCol w:w="1110"/>
        <w:gridCol w:w="750"/>
        <w:gridCol w:w="900"/>
        <w:gridCol w:w="750"/>
        <w:gridCol w:w="855"/>
        <w:gridCol w:w="675"/>
        <w:gridCol w:w="1170"/>
        <w:gridCol w:w="765"/>
        <w:gridCol w:w="750"/>
        <w:gridCol w:w="198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0" w:hRule="atLeast"/>
        </w:trPr>
        <w:tc>
          <w:tcPr>
            <w:tcW w:w="10620" w:type="dxa"/>
            <w:gridSpan w:val="11"/>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黑体" w:hAnsi="宋体" w:eastAsia="黑体" w:cs="黑体"/>
                <w:b/>
                <w:bCs/>
                <w:i w:val="0"/>
                <w:iCs w:val="0"/>
                <w:color w:val="000000"/>
                <w:sz w:val="30"/>
                <w:szCs w:val="30"/>
                <w:u w:val="none"/>
              </w:rPr>
            </w:pPr>
            <w:r>
              <w:rPr>
                <w:rFonts w:hint="eastAsia" w:ascii="黑体" w:hAnsi="宋体" w:eastAsia="黑体" w:cs="黑体"/>
                <w:b/>
                <w:bCs/>
                <w:i w:val="0"/>
                <w:iCs w:val="0"/>
                <w:color w:val="000000"/>
                <w:kern w:val="0"/>
                <w:sz w:val="30"/>
                <w:szCs w:val="30"/>
                <w:u w:val="none"/>
                <w:lang w:val="en-US" w:eastAsia="zh-CN" w:bidi="ar"/>
              </w:rPr>
              <w:t>部门预算项目支出绩效自评表（2022年度）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02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项目名称</w:t>
            </w:r>
          </w:p>
        </w:tc>
        <w:tc>
          <w:tcPr>
            <w:tcW w:w="859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51190023T000008737119-市本级公共卫生特别服务岗（医疗卫生岗）首批招募人员待遇经费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202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主管部门</w:t>
            </w:r>
          </w:p>
        </w:tc>
        <w:tc>
          <w:tcPr>
            <w:tcW w:w="393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巴中市卫生健康委员会部门</w:t>
            </w:r>
          </w:p>
        </w:tc>
        <w:tc>
          <w:tcPr>
            <w:tcW w:w="1170" w:type="dxa"/>
            <w:tcBorders>
              <w:top w:val="nil"/>
              <w:left w:val="nil"/>
              <w:bottom w:val="nil"/>
              <w:right w:val="nil"/>
            </w:tcBorders>
            <w:shd w:val="clear" w:color="auto" w:fill="FFFFFF"/>
            <w:vAlign w:val="center"/>
          </w:tcPr>
          <w:p>
            <w:pPr>
              <w:keepNext w:val="0"/>
              <w:keepLines w:val="0"/>
              <w:widowControl/>
              <w:suppressLineNumbers w:val="0"/>
              <w:jc w:val="left"/>
              <w:textAlignment w:val="center"/>
              <w:rPr>
                <w:rFonts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实施单位 （盖章）</w:t>
            </w:r>
          </w:p>
        </w:tc>
        <w:tc>
          <w:tcPr>
            <w:tcW w:w="3495"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巴中市妇幼保健院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1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项目基本情况</w:t>
            </w:r>
          </w:p>
        </w:tc>
        <w:tc>
          <w:tcPr>
            <w:tcW w:w="111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1.项目年度目标完成情况</w:t>
            </w:r>
          </w:p>
        </w:tc>
        <w:tc>
          <w:tcPr>
            <w:tcW w:w="393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项目年度目标</w:t>
            </w:r>
          </w:p>
        </w:tc>
        <w:tc>
          <w:tcPr>
            <w:tcW w:w="4665"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年度目标完成情况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1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3930"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c>
          <w:tcPr>
            <w:tcW w:w="4665"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2.项目实施内容及过程概述</w:t>
            </w:r>
          </w:p>
        </w:tc>
        <w:tc>
          <w:tcPr>
            <w:tcW w:w="8595" w:type="dxa"/>
            <w:gridSpan w:val="9"/>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严格执行相关政策，保障工资及时发放、足额发放，预算编制科学合理，减少结余资金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1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预算执行情况（10分）</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年度预算数（万元）</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年初预算</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调整后预算数</w:t>
            </w:r>
          </w:p>
        </w:tc>
        <w:tc>
          <w:tcPr>
            <w:tcW w:w="228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预算执行数</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预算执行率</w:t>
            </w:r>
          </w:p>
        </w:tc>
        <w:tc>
          <w:tcPr>
            <w:tcW w:w="7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9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原因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总额</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11.22</w:t>
            </w:r>
          </w:p>
        </w:tc>
        <w:tc>
          <w:tcPr>
            <w:tcW w:w="228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11.22</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7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w:t>
            </w:r>
          </w:p>
        </w:tc>
        <w:tc>
          <w:tcPr>
            <w:tcW w:w="19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其中：财政资金</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11.22</w:t>
            </w:r>
          </w:p>
        </w:tc>
        <w:tc>
          <w:tcPr>
            <w:tcW w:w="228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11.22</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100.00%</w:t>
            </w:r>
          </w:p>
        </w:tc>
        <w:tc>
          <w:tcPr>
            <w:tcW w:w="7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9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9"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财政专户管理资金</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28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9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单位资金</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228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0.00%</w:t>
            </w:r>
          </w:p>
        </w:tc>
        <w:tc>
          <w:tcPr>
            <w:tcW w:w="7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9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其他资金</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2280" w:type="dxa"/>
            <w:gridSpan w:val="3"/>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7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w:t>
            </w:r>
          </w:p>
        </w:tc>
        <w:tc>
          <w:tcPr>
            <w:tcW w:w="19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黑体" w:hAnsi="黑体" w:eastAsia="黑体" w:cs="黑体"/>
                <w:i/>
                <w:iCs/>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91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绩效指标（90分）</w:t>
            </w: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一级指标</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二级指标</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三级指标</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指标性质</w:t>
            </w: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指标值</w:t>
            </w: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度量单位</w:t>
            </w: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完成值</w:t>
            </w:r>
          </w:p>
        </w:tc>
        <w:tc>
          <w:tcPr>
            <w:tcW w:w="7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权重</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得分</w:t>
            </w:r>
          </w:p>
        </w:tc>
        <w:tc>
          <w:tcPr>
            <w:tcW w:w="19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未完成原因分析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1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67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c>
          <w:tcPr>
            <w:tcW w:w="7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宋体" w:hAnsi="宋体" w:eastAsia="宋体" w:cs="宋体"/>
                <w:i w:val="0"/>
                <w:iCs w:val="0"/>
                <w:color w:val="000000"/>
                <w:sz w:val="18"/>
                <w:szCs w:val="18"/>
                <w:u w:val="none"/>
              </w:rPr>
            </w:pPr>
          </w:p>
        </w:tc>
        <w:tc>
          <w:tcPr>
            <w:tcW w:w="19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jc w:val="center"/>
              <w:rPr>
                <w:rFonts w:hint="eastAsia" w:ascii="微软雅黑" w:hAnsi="微软雅黑" w:eastAsia="微软雅黑" w:cs="微软雅黑"/>
                <w:i/>
                <w:iCs/>
                <w:color w:val="000000"/>
                <w:sz w:val="16"/>
                <w:szCs w:val="16"/>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7125" w:type="dxa"/>
            <w:gridSpan w:val="8"/>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合计</w:t>
            </w:r>
          </w:p>
        </w:tc>
        <w:tc>
          <w:tcPr>
            <w:tcW w:w="76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75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righ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100</w:t>
            </w:r>
          </w:p>
        </w:tc>
        <w:tc>
          <w:tcPr>
            <w:tcW w:w="19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评价结论</w:t>
            </w:r>
          </w:p>
        </w:tc>
        <w:tc>
          <w:tcPr>
            <w:tcW w:w="970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项目自评结果满分，其中预算执行情况，绩效指标情况均达到年初既定目标值，项目资金使用状况良好。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存在问题</w:t>
            </w:r>
          </w:p>
        </w:tc>
        <w:tc>
          <w:tcPr>
            <w:tcW w:w="970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1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center"/>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改进措施</w:t>
            </w:r>
          </w:p>
        </w:tc>
        <w:tc>
          <w:tcPr>
            <w:tcW w:w="9705" w:type="dxa"/>
            <w:gridSpan w:val="10"/>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ascii="宋体" w:hAnsi="宋体" w:eastAsia="宋体" w:cs="宋体"/>
                <w:i w:val="0"/>
                <w:iCs w:val="0"/>
                <w:color w:val="000000"/>
                <w:sz w:val="18"/>
                <w:szCs w:val="18"/>
                <w:u w:val="none"/>
              </w:rPr>
            </w:pPr>
            <w:r>
              <w:rPr>
                <w:rFonts w:ascii="宋体" w:hAnsi="宋体" w:eastAsia="宋体" w:cs="宋体"/>
                <w:i w:val="0"/>
                <w:iCs w:val="0"/>
                <w:color w:val="000000"/>
                <w:kern w:val="0"/>
                <w:sz w:val="18"/>
                <w:szCs w:val="18"/>
                <w:u w:val="none"/>
                <w:lang w:val="en-US" w:eastAsia="zh-CN" w:bidi="ar"/>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4425" w:type="dxa"/>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项目负责人：张代胜</w:t>
            </w:r>
          </w:p>
        </w:tc>
        <w:tc>
          <w:tcPr>
            <w:tcW w:w="6195" w:type="dxa"/>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jc w:val="left"/>
              <w:textAlignment w:val="center"/>
              <w:rPr>
                <w:rFonts w:hint="eastAsia" w:ascii="黑体" w:hAnsi="黑体" w:eastAsia="黑体" w:cs="黑体"/>
                <w:i w:val="0"/>
                <w:iCs w:val="0"/>
                <w:color w:val="000000"/>
                <w:sz w:val="18"/>
                <w:szCs w:val="18"/>
                <w:u w:val="none"/>
              </w:rPr>
            </w:pPr>
            <w:r>
              <w:rPr>
                <w:rFonts w:hint="eastAsia" w:ascii="黑体" w:hAnsi="黑体" w:eastAsia="黑体" w:cs="黑体"/>
                <w:i w:val="0"/>
                <w:iCs w:val="0"/>
                <w:color w:val="000000"/>
                <w:kern w:val="0"/>
                <w:sz w:val="18"/>
                <w:szCs w:val="18"/>
                <w:u w:val="none"/>
                <w:lang w:val="en-US" w:eastAsia="zh-CN" w:bidi="ar"/>
              </w:rPr>
              <w:t>财务负责人：高询杰</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spacing w:line="600" w:lineRule="exact"/>
        <w:jc w:val="center"/>
        <w:outlineLvl w:val="0"/>
        <w:rPr>
          <w:rFonts w:hint="eastAsia" w:ascii="仿宋" w:hAnsi="仿宋" w:eastAsia="仿宋"/>
          <w:b w:val="0"/>
          <w:color w:val="auto"/>
          <w:highlight w:val="none"/>
        </w:rPr>
      </w:pPr>
      <w:bookmarkStart w:id="77" w:name="_Toc23972"/>
      <w:r>
        <w:rPr>
          <w:rFonts w:hint="eastAsia" w:ascii="黑体" w:hAnsi="黑体" w:eastAsia="黑体"/>
          <w:color w:val="auto"/>
          <w:sz w:val="44"/>
          <w:szCs w:val="44"/>
          <w:highlight w:val="none"/>
        </w:rPr>
        <w:t>第</w:t>
      </w:r>
      <w:r>
        <w:rPr>
          <w:rStyle w:val="26"/>
          <w:rFonts w:hint="eastAsia" w:ascii="黑体" w:hAnsi="黑体" w:eastAsia="黑体"/>
          <w:b w:val="0"/>
          <w:color w:val="auto"/>
          <w:highlight w:val="none"/>
        </w:rPr>
        <w:t>五部分 附表</w:t>
      </w:r>
      <w:bookmarkEnd w:id="75"/>
      <w:bookmarkEnd w:id="76"/>
      <w:bookmarkEnd w:id="77"/>
      <w:bookmarkStart w:id="78" w:name="_Toc15396619"/>
    </w:p>
    <w:p>
      <w:pPr>
        <w:pStyle w:val="4"/>
        <w:rPr>
          <w:rFonts w:ascii="仿宋" w:hAnsi="仿宋" w:eastAsia="仿宋"/>
          <w:color w:val="auto"/>
          <w:highlight w:val="none"/>
        </w:rPr>
      </w:pPr>
      <w:bookmarkStart w:id="79" w:name="_Toc16284"/>
      <w:r>
        <w:rPr>
          <w:rFonts w:hint="eastAsia" w:ascii="仿宋" w:hAnsi="仿宋" w:eastAsia="仿宋"/>
          <w:b w:val="0"/>
          <w:color w:val="auto"/>
          <w:highlight w:val="none"/>
        </w:rPr>
        <w:t>一、收</w:t>
      </w:r>
      <w:r>
        <w:rPr>
          <w:rStyle w:val="27"/>
          <w:rFonts w:hint="eastAsia" w:ascii="仿宋" w:hAnsi="仿宋" w:eastAsia="仿宋"/>
          <w:b w:val="0"/>
          <w:bCs w:val="0"/>
          <w:color w:val="auto"/>
          <w:highlight w:val="none"/>
        </w:rPr>
        <w:t>入支出决算总表</w:t>
      </w:r>
      <w:bookmarkEnd w:id="78"/>
      <w:bookmarkEnd w:id="79"/>
    </w:p>
    <w:p>
      <w:pPr>
        <w:pStyle w:val="4"/>
        <w:rPr>
          <w:rFonts w:ascii="仿宋" w:hAnsi="仿宋" w:eastAsia="仿宋"/>
          <w:color w:val="auto"/>
          <w:highlight w:val="none"/>
        </w:rPr>
      </w:pPr>
      <w:bookmarkStart w:id="80" w:name="_Toc15396620"/>
      <w:bookmarkStart w:id="81" w:name="_Toc13562"/>
      <w:r>
        <w:rPr>
          <w:rFonts w:hint="eastAsia" w:ascii="仿宋" w:hAnsi="仿宋" w:eastAsia="仿宋"/>
          <w:b w:val="0"/>
          <w:color w:val="auto"/>
          <w:highlight w:val="none"/>
        </w:rPr>
        <w:t>二、收</w:t>
      </w:r>
      <w:r>
        <w:rPr>
          <w:rStyle w:val="27"/>
          <w:rFonts w:hint="eastAsia" w:ascii="仿宋" w:hAnsi="仿宋" w:eastAsia="仿宋"/>
          <w:b w:val="0"/>
          <w:bCs w:val="0"/>
          <w:color w:val="auto"/>
          <w:highlight w:val="none"/>
        </w:rPr>
        <w:t>入决算表</w:t>
      </w:r>
      <w:bookmarkEnd w:id="80"/>
      <w:bookmarkEnd w:id="81"/>
    </w:p>
    <w:p>
      <w:pPr>
        <w:pStyle w:val="4"/>
        <w:rPr>
          <w:rFonts w:ascii="仿宋" w:hAnsi="仿宋" w:eastAsia="仿宋"/>
          <w:color w:val="auto"/>
          <w:highlight w:val="none"/>
        </w:rPr>
      </w:pPr>
      <w:bookmarkStart w:id="82" w:name="_Toc15396621"/>
      <w:bookmarkStart w:id="83" w:name="_Toc29633"/>
      <w:r>
        <w:rPr>
          <w:rStyle w:val="27"/>
          <w:rFonts w:hint="eastAsia" w:ascii="仿宋" w:hAnsi="仿宋" w:eastAsia="仿宋"/>
          <w:b w:val="0"/>
          <w:bCs w:val="0"/>
          <w:color w:val="auto"/>
          <w:highlight w:val="none"/>
        </w:rPr>
        <w:t>三、</w:t>
      </w:r>
      <w:r>
        <w:rPr>
          <w:rFonts w:hint="eastAsia" w:ascii="仿宋" w:hAnsi="仿宋" w:eastAsia="仿宋"/>
          <w:b w:val="0"/>
          <w:color w:val="auto"/>
          <w:highlight w:val="none"/>
        </w:rPr>
        <w:t>支</w:t>
      </w:r>
      <w:r>
        <w:rPr>
          <w:rStyle w:val="27"/>
          <w:rFonts w:hint="eastAsia" w:ascii="仿宋" w:hAnsi="仿宋" w:eastAsia="仿宋"/>
          <w:b w:val="0"/>
          <w:bCs w:val="0"/>
          <w:color w:val="auto"/>
          <w:highlight w:val="none"/>
        </w:rPr>
        <w:t>出决算表</w:t>
      </w:r>
      <w:bookmarkEnd w:id="82"/>
      <w:bookmarkEnd w:id="83"/>
    </w:p>
    <w:p>
      <w:pPr>
        <w:pStyle w:val="4"/>
        <w:rPr>
          <w:rFonts w:ascii="仿宋" w:hAnsi="仿宋" w:eastAsia="仿宋"/>
          <w:b w:val="0"/>
          <w:color w:val="auto"/>
          <w:highlight w:val="none"/>
        </w:rPr>
      </w:pPr>
      <w:bookmarkStart w:id="84" w:name="_Toc18612"/>
      <w:bookmarkStart w:id="85" w:name="_Toc15396622"/>
      <w:r>
        <w:rPr>
          <w:rStyle w:val="27"/>
          <w:rFonts w:hint="eastAsia" w:ascii="仿宋" w:hAnsi="仿宋" w:eastAsia="仿宋"/>
          <w:b w:val="0"/>
          <w:bCs w:val="0"/>
          <w:color w:val="auto"/>
          <w:highlight w:val="none"/>
        </w:rPr>
        <w:t>四、</w:t>
      </w:r>
      <w:r>
        <w:rPr>
          <w:rFonts w:hint="eastAsia" w:ascii="仿宋" w:hAnsi="仿宋" w:eastAsia="仿宋"/>
          <w:b w:val="0"/>
          <w:color w:val="auto"/>
          <w:highlight w:val="none"/>
        </w:rPr>
        <w:t>财</w:t>
      </w:r>
      <w:r>
        <w:rPr>
          <w:rStyle w:val="27"/>
          <w:rFonts w:hint="eastAsia" w:ascii="仿宋" w:hAnsi="仿宋" w:eastAsia="仿宋"/>
          <w:b w:val="0"/>
          <w:bCs w:val="0"/>
          <w:color w:val="auto"/>
          <w:highlight w:val="none"/>
        </w:rPr>
        <w:t>政拨款收入支出决算总表</w:t>
      </w:r>
      <w:bookmarkEnd w:id="84"/>
      <w:bookmarkEnd w:id="85"/>
    </w:p>
    <w:p>
      <w:pPr>
        <w:pStyle w:val="4"/>
        <w:rPr>
          <w:rStyle w:val="27"/>
          <w:rFonts w:ascii="仿宋" w:hAnsi="仿宋" w:eastAsia="仿宋"/>
          <w:b w:val="0"/>
          <w:bCs w:val="0"/>
          <w:color w:val="auto"/>
          <w:highlight w:val="none"/>
        </w:rPr>
      </w:pPr>
      <w:bookmarkStart w:id="86" w:name="_Toc3126"/>
      <w:bookmarkStart w:id="87" w:name="_Toc15396623"/>
      <w:r>
        <w:rPr>
          <w:rStyle w:val="27"/>
          <w:rFonts w:hint="eastAsia" w:ascii="仿宋" w:hAnsi="仿宋" w:eastAsia="仿宋"/>
          <w:b w:val="0"/>
          <w:bCs w:val="0"/>
          <w:color w:val="auto"/>
          <w:highlight w:val="none"/>
        </w:rPr>
        <w:t>五、</w:t>
      </w:r>
      <w:r>
        <w:rPr>
          <w:rFonts w:hint="eastAsia" w:ascii="仿宋" w:hAnsi="仿宋" w:eastAsia="仿宋"/>
          <w:b w:val="0"/>
          <w:color w:val="auto"/>
          <w:highlight w:val="none"/>
        </w:rPr>
        <w:t>财</w:t>
      </w:r>
      <w:r>
        <w:rPr>
          <w:rStyle w:val="27"/>
          <w:rFonts w:hint="eastAsia" w:ascii="仿宋" w:hAnsi="仿宋" w:eastAsia="仿宋"/>
          <w:b w:val="0"/>
          <w:bCs w:val="0"/>
          <w:color w:val="auto"/>
          <w:highlight w:val="none"/>
        </w:rPr>
        <w:t>政拨款支出决算明细表</w:t>
      </w:r>
      <w:bookmarkEnd w:id="86"/>
      <w:bookmarkEnd w:id="87"/>
      <w:bookmarkStart w:id="88" w:name="_Toc15396624"/>
    </w:p>
    <w:p>
      <w:pPr>
        <w:pStyle w:val="4"/>
        <w:rPr>
          <w:rFonts w:ascii="仿宋" w:hAnsi="仿宋" w:eastAsia="仿宋"/>
          <w:color w:val="auto"/>
          <w:highlight w:val="none"/>
        </w:rPr>
      </w:pPr>
      <w:bookmarkStart w:id="89" w:name="_Toc22549"/>
      <w:r>
        <w:rPr>
          <w:rStyle w:val="27"/>
          <w:rFonts w:hint="eastAsia" w:ascii="仿宋" w:hAnsi="仿宋" w:eastAsia="仿宋"/>
          <w:b w:val="0"/>
          <w:bCs w:val="0"/>
          <w:color w:val="auto"/>
          <w:highlight w:val="none"/>
        </w:rPr>
        <w:t>六、</w:t>
      </w:r>
      <w:r>
        <w:rPr>
          <w:rFonts w:hint="eastAsia" w:ascii="仿宋" w:hAnsi="仿宋" w:eastAsia="仿宋"/>
          <w:b w:val="0"/>
          <w:color w:val="auto"/>
          <w:highlight w:val="none"/>
        </w:rPr>
        <w:t>一</w:t>
      </w:r>
      <w:r>
        <w:rPr>
          <w:rStyle w:val="27"/>
          <w:rFonts w:hint="eastAsia" w:ascii="仿宋" w:hAnsi="仿宋" w:eastAsia="仿宋"/>
          <w:b w:val="0"/>
          <w:bCs w:val="0"/>
          <w:color w:val="auto"/>
          <w:highlight w:val="none"/>
        </w:rPr>
        <w:t>般公共预算财政拨款支出决算表</w:t>
      </w:r>
      <w:bookmarkEnd w:id="88"/>
      <w:bookmarkEnd w:id="89"/>
    </w:p>
    <w:p>
      <w:pPr>
        <w:pStyle w:val="4"/>
        <w:rPr>
          <w:rFonts w:ascii="仿宋" w:hAnsi="仿宋" w:eastAsia="仿宋"/>
          <w:color w:val="auto"/>
          <w:highlight w:val="none"/>
        </w:rPr>
      </w:pPr>
      <w:bookmarkStart w:id="90" w:name="_Toc22772"/>
      <w:bookmarkStart w:id="91" w:name="_Toc15396625"/>
      <w:r>
        <w:rPr>
          <w:rStyle w:val="27"/>
          <w:rFonts w:hint="eastAsia" w:ascii="仿宋" w:hAnsi="仿宋" w:eastAsia="仿宋"/>
          <w:b w:val="0"/>
          <w:bCs w:val="0"/>
          <w:color w:val="auto"/>
          <w:highlight w:val="none"/>
        </w:rPr>
        <w:t>七、</w:t>
      </w:r>
      <w:r>
        <w:rPr>
          <w:rFonts w:hint="eastAsia" w:ascii="仿宋" w:hAnsi="仿宋" w:eastAsia="仿宋"/>
          <w:b w:val="0"/>
          <w:color w:val="auto"/>
          <w:highlight w:val="none"/>
        </w:rPr>
        <w:t>一</w:t>
      </w:r>
      <w:r>
        <w:rPr>
          <w:rStyle w:val="27"/>
          <w:rFonts w:hint="eastAsia" w:ascii="仿宋" w:hAnsi="仿宋" w:eastAsia="仿宋"/>
          <w:b w:val="0"/>
          <w:bCs w:val="0"/>
          <w:color w:val="auto"/>
          <w:highlight w:val="none"/>
        </w:rPr>
        <w:t>般公共预算财政拨款支出决算明细表</w:t>
      </w:r>
      <w:bookmarkEnd w:id="90"/>
      <w:bookmarkEnd w:id="91"/>
    </w:p>
    <w:p>
      <w:pPr>
        <w:pStyle w:val="4"/>
        <w:rPr>
          <w:rFonts w:ascii="仿宋" w:hAnsi="仿宋" w:eastAsia="仿宋"/>
          <w:color w:val="auto"/>
          <w:highlight w:val="none"/>
        </w:rPr>
      </w:pPr>
      <w:bookmarkStart w:id="92" w:name="_Toc15396626"/>
      <w:bookmarkStart w:id="93" w:name="_Toc29136"/>
      <w:r>
        <w:rPr>
          <w:rStyle w:val="27"/>
          <w:rFonts w:hint="eastAsia" w:ascii="仿宋" w:hAnsi="仿宋" w:eastAsia="仿宋"/>
          <w:b w:val="0"/>
          <w:bCs w:val="0"/>
          <w:color w:val="auto"/>
          <w:highlight w:val="none"/>
        </w:rPr>
        <w:t>八、</w:t>
      </w:r>
      <w:r>
        <w:rPr>
          <w:rFonts w:hint="eastAsia" w:ascii="仿宋" w:hAnsi="仿宋" w:eastAsia="仿宋"/>
          <w:b w:val="0"/>
          <w:color w:val="auto"/>
          <w:highlight w:val="none"/>
        </w:rPr>
        <w:t>一</w:t>
      </w:r>
      <w:r>
        <w:rPr>
          <w:rStyle w:val="27"/>
          <w:rFonts w:hint="eastAsia" w:ascii="仿宋" w:hAnsi="仿宋" w:eastAsia="仿宋"/>
          <w:b w:val="0"/>
          <w:bCs w:val="0"/>
          <w:color w:val="auto"/>
          <w:highlight w:val="none"/>
        </w:rPr>
        <w:t>般公共预算财政拨款基本支出决算表</w:t>
      </w:r>
      <w:bookmarkEnd w:id="92"/>
      <w:bookmarkEnd w:id="93"/>
    </w:p>
    <w:p>
      <w:pPr>
        <w:pStyle w:val="4"/>
        <w:rPr>
          <w:rFonts w:ascii="仿宋" w:hAnsi="仿宋" w:eastAsia="仿宋"/>
          <w:color w:val="auto"/>
          <w:highlight w:val="none"/>
        </w:rPr>
      </w:pPr>
      <w:bookmarkStart w:id="94" w:name="_Toc14853"/>
      <w:bookmarkStart w:id="95" w:name="_Toc15396627"/>
      <w:r>
        <w:rPr>
          <w:rStyle w:val="27"/>
          <w:rFonts w:hint="eastAsia" w:ascii="仿宋" w:hAnsi="仿宋" w:eastAsia="仿宋"/>
          <w:b w:val="0"/>
          <w:bCs w:val="0"/>
          <w:color w:val="auto"/>
          <w:highlight w:val="none"/>
        </w:rPr>
        <w:t>九、</w:t>
      </w:r>
      <w:r>
        <w:rPr>
          <w:rFonts w:hint="eastAsia" w:ascii="仿宋" w:hAnsi="仿宋" w:eastAsia="仿宋"/>
          <w:b w:val="0"/>
          <w:color w:val="auto"/>
          <w:highlight w:val="none"/>
        </w:rPr>
        <w:t>一</w:t>
      </w:r>
      <w:r>
        <w:rPr>
          <w:rStyle w:val="27"/>
          <w:rFonts w:hint="eastAsia" w:ascii="仿宋" w:hAnsi="仿宋" w:eastAsia="仿宋"/>
          <w:b w:val="0"/>
          <w:bCs w:val="0"/>
          <w:color w:val="auto"/>
          <w:highlight w:val="none"/>
        </w:rPr>
        <w:t>般公共预算财政拨款项目支出决算表</w:t>
      </w:r>
      <w:bookmarkEnd w:id="94"/>
      <w:bookmarkEnd w:id="95"/>
    </w:p>
    <w:p>
      <w:pPr>
        <w:pStyle w:val="4"/>
        <w:rPr>
          <w:rFonts w:ascii="仿宋" w:hAnsi="仿宋" w:eastAsia="仿宋"/>
          <w:color w:val="auto"/>
          <w:highlight w:val="none"/>
        </w:rPr>
      </w:pPr>
      <w:bookmarkStart w:id="96" w:name="_Toc15396628"/>
      <w:bookmarkStart w:id="97" w:name="_Toc14713"/>
      <w:r>
        <w:rPr>
          <w:rStyle w:val="27"/>
          <w:rFonts w:hint="eastAsia" w:ascii="仿宋" w:hAnsi="仿宋" w:eastAsia="仿宋"/>
          <w:b w:val="0"/>
          <w:bCs w:val="0"/>
          <w:color w:val="auto"/>
          <w:highlight w:val="none"/>
        </w:rPr>
        <w:t>十、</w:t>
      </w:r>
      <w:bookmarkEnd w:id="96"/>
      <w:r>
        <w:rPr>
          <w:rFonts w:hint="eastAsia" w:ascii="仿宋" w:hAnsi="仿宋" w:eastAsia="仿宋"/>
          <w:b w:val="0"/>
          <w:color w:val="auto"/>
          <w:highlight w:val="none"/>
        </w:rPr>
        <w:t>政</w:t>
      </w:r>
      <w:r>
        <w:rPr>
          <w:rStyle w:val="27"/>
          <w:rFonts w:hint="eastAsia" w:ascii="仿宋" w:hAnsi="仿宋" w:eastAsia="仿宋"/>
          <w:b w:val="0"/>
          <w:bCs w:val="0"/>
          <w:color w:val="auto"/>
          <w:highlight w:val="none"/>
        </w:rPr>
        <w:t>府性基金预算财政拨款收入支出决算表</w:t>
      </w:r>
      <w:bookmarkEnd w:id="97"/>
    </w:p>
    <w:p>
      <w:pPr>
        <w:pStyle w:val="4"/>
        <w:rPr>
          <w:rFonts w:ascii="仿宋" w:hAnsi="仿宋" w:eastAsia="仿宋"/>
          <w:color w:val="auto"/>
          <w:highlight w:val="none"/>
        </w:rPr>
      </w:pPr>
      <w:bookmarkStart w:id="98" w:name="_Toc15396629"/>
      <w:bookmarkStart w:id="99" w:name="_Toc16785"/>
      <w:r>
        <w:rPr>
          <w:rStyle w:val="27"/>
          <w:rFonts w:hint="eastAsia" w:ascii="仿宋" w:hAnsi="仿宋" w:eastAsia="仿宋"/>
          <w:b w:val="0"/>
          <w:bCs w:val="0"/>
          <w:color w:val="auto"/>
          <w:highlight w:val="none"/>
        </w:rPr>
        <w:t>十一、</w:t>
      </w:r>
      <w:bookmarkEnd w:id="98"/>
      <w:r>
        <w:rPr>
          <w:rFonts w:hint="eastAsia" w:ascii="仿宋" w:hAnsi="仿宋" w:eastAsia="仿宋"/>
          <w:b w:val="0"/>
          <w:color w:val="auto"/>
          <w:highlight w:val="none"/>
        </w:rPr>
        <w:t>国</w:t>
      </w:r>
      <w:r>
        <w:rPr>
          <w:rStyle w:val="27"/>
          <w:rFonts w:hint="eastAsia" w:ascii="仿宋" w:hAnsi="仿宋" w:eastAsia="仿宋"/>
          <w:b w:val="0"/>
          <w:bCs w:val="0"/>
          <w:color w:val="auto"/>
          <w:highlight w:val="none"/>
        </w:rPr>
        <w:t>有资本经营预算</w:t>
      </w:r>
      <w:r>
        <w:rPr>
          <w:rStyle w:val="27"/>
          <w:rFonts w:hint="eastAsia" w:ascii="仿宋" w:hAnsi="仿宋" w:eastAsia="仿宋"/>
          <w:b w:val="0"/>
          <w:bCs w:val="0"/>
          <w:color w:val="auto"/>
          <w:highlight w:val="none"/>
          <w:lang w:eastAsia="zh-CN"/>
        </w:rPr>
        <w:t>财政拨款收入</w:t>
      </w:r>
      <w:r>
        <w:rPr>
          <w:rStyle w:val="27"/>
          <w:rFonts w:hint="eastAsia" w:ascii="仿宋" w:hAnsi="仿宋" w:eastAsia="仿宋"/>
          <w:b w:val="0"/>
          <w:bCs w:val="0"/>
          <w:color w:val="auto"/>
          <w:highlight w:val="none"/>
        </w:rPr>
        <w:t>支出决算表</w:t>
      </w:r>
      <w:bookmarkEnd w:id="99"/>
    </w:p>
    <w:p>
      <w:pPr>
        <w:pStyle w:val="4"/>
        <w:rPr>
          <w:rFonts w:ascii="仿宋" w:hAnsi="仿宋" w:eastAsia="仿宋"/>
          <w:color w:val="auto"/>
          <w:highlight w:val="none"/>
        </w:rPr>
      </w:pPr>
      <w:bookmarkStart w:id="100" w:name="_Toc15396630"/>
      <w:bookmarkStart w:id="101" w:name="_Toc10717"/>
      <w:r>
        <w:rPr>
          <w:rStyle w:val="27"/>
          <w:rFonts w:hint="eastAsia" w:ascii="仿宋" w:hAnsi="仿宋" w:eastAsia="仿宋"/>
          <w:b w:val="0"/>
          <w:bCs w:val="0"/>
          <w:color w:val="auto"/>
          <w:highlight w:val="none"/>
        </w:rPr>
        <w:t>十二、</w:t>
      </w:r>
      <w:bookmarkEnd w:id="100"/>
      <w:r>
        <w:rPr>
          <w:rStyle w:val="27"/>
          <w:rFonts w:hint="eastAsia" w:ascii="仿宋" w:hAnsi="仿宋" w:eastAsia="仿宋"/>
          <w:b w:val="0"/>
          <w:bCs w:val="0"/>
          <w:color w:val="auto"/>
          <w:highlight w:val="none"/>
          <w:lang w:eastAsia="zh-CN"/>
        </w:rPr>
        <w:t>国有资本经营预算财政拨款支出决算表</w:t>
      </w:r>
      <w:bookmarkEnd w:id="101"/>
    </w:p>
    <w:p>
      <w:pPr>
        <w:pStyle w:val="4"/>
        <w:rPr>
          <w:rFonts w:hint="eastAsia" w:eastAsia="仿宋"/>
          <w:color w:val="auto"/>
          <w:highlight w:val="none"/>
          <w:lang w:eastAsia="zh-CN"/>
        </w:rPr>
      </w:pPr>
      <w:bookmarkStart w:id="102" w:name="_Toc15396631"/>
      <w:bookmarkStart w:id="103" w:name="_Toc29550"/>
      <w:r>
        <w:rPr>
          <w:rStyle w:val="27"/>
          <w:rFonts w:hint="eastAsia" w:ascii="仿宋" w:hAnsi="仿宋" w:eastAsia="仿宋"/>
          <w:b w:val="0"/>
          <w:bCs w:val="0"/>
          <w:color w:val="auto"/>
          <w:highlight w:val="none"/>
        </w:rPr>
        <w:t>十三、</w:t>
      </w:r>
      <w:bookmarkEnd w:id="102"/>
      <w:r>
        <w:rPr>
          <w:rStyle w:val="27"/>
          <w:rFonts w:hint="eastAsia" w:ascii="仿宋" w:hAnsi="仿宋" w:eastAsia="仿宋"/>
          <w:b w:val="0"/>
          <w:bCs w:val="0"/>
          <w:color w:val="auto"/>
          <w:highlight w:val="none"/>
          <w:lang w:eastAsia="zh-CN"/>
        </w:rPr>
        <w:t>财政拨款“三公”经费支出决算表</w:t>
      </w:r>
      <w:bookmarkEnd w:id="103"/>
    </w:p>
    <w:sectPr>
      <w:headerReference r:id="rId3" w:type="default"/>
      <w:footerReference r:id="rId4" w:type="default"/>
      <w:pgSz w:w="11906" w:h="16838"/>
      <w:pgMar w:top="1440" w:right="1800" w:bottom="1440" w:left="1800" w:header="851" w:footer="992"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6CF8150-7F7D-4373-9C73-73932CB8CB4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BD8AA045-ACA2-4B0F-936B-6B564E2A10A7}"/>
  </w:font>
  <w:font w:name="Cambria">
    <w:panose1 w:val="02040503050406030204"/>
    <w:charset w:val="00"/>
    <w:family w:val="roman"/>
    <w:pitch w:val="default"/>
    <w:sig w:usb0="E00006FF" w:usb1="420024FF" w:usb2="02000000" w:usb3="00000000" w:csb0="2000019F" w:csb1="00000000"/>
    <w:embedRegular r:id="rId3" w:fontKey="{E8635299-9F62-49BF-B774-BD61D87E166C}"/>
  </w:font>
  <w:font w:name="仿宋_GB2312">
    <w:panose1 w:val="02010609030101010101"/>
    <w:charset w:val="86"/>
    <w:family w:val="modern"/>
    <w:pitch w:val="default"/>
    <w:sig w:usb0="00000001" w:usb1="080E0000" w:usb2="00000000" w:usb3="00000000" w:csb0="00040000" w:csb1="00000000"/>
    <w:embedRegular r:id="rId4" w:fontKey="{C64913D3-FEA9-4C56-8AFD-E193E4206DA9}"/>
  </w:font>
  <w:font w:name="仿宋">
    <w:panose1 w:val="02010609060101010101"/>
    <w:charset w:val="86"/>
    <w:family w:val="modern"/>
    <w:pitch w:val="default"/>
    <w:sig w:usb0="800002BF" w:usb1="38CF7CFA" w:usb2="00000016" w:usb3="00000000" w:csb0="00040001" w:csb1="00000000"/>
    <w:embedRegular r:id="rId5" w:fontKey="{EF2DE93D-ECB6-4AFB-A7CF-BE1FBAF685C8}"/>
  </w:font>
  <w:font w:name="方正小标宋简体">
    <w:panose1 w:val="03000509000000000000"/>
    <w:charset w:val="86"/>
    <w:family w:val="script"/>
    <w:pitch w:val="default"/>
    <w:sig w:usb0="00000001" w:usb1="080E0000" w:usb2="00000000" w:usb3="00000000" w:csb0="00040000" w:csb1="00000000"/>
    <w:embedRegular r:id="rId6" w:fontKey="{9380A239-9099-4804-A090-7A8047F3AF1A}"/>
  </w:font>
  <w:font w:name="方正仿宋_GB2312">
    <w:altName w:val="仿宋"/>
    <w:panose1 w:val="02000000000000000000"/>
    <w:charset w:val="86"/>
    <w:family w:val="auto"/>
    <w:pitch w:val="default"/>
    <w:sig w:usb0="00000000" w:usb1="00000000" w:usb2="00000012" w:usb3="00000000" w:csb0="00040001" w:csb1="00000000"/>
    <w:embedRegular r:id="rId7" w:fontKey="{74393E19-E6F7-4E5A-ABED-F852E0494E65}"/>
  </w:font>
  <w:font w:name="楷体">
    <w:panose1 w:val="02010609060101010101"/>
    <w:charset w:val="86"/>
    <w:family w:val="modern"/>
    <w:pitch w:val="default"/>
    <w:sig w:usb0="800002BF" w:usb1="38CF7CFA" w:usb2="00000016" w:usb3="00000000" w:csb0="00040001" w:csb1="00000000"/>
    <w:embedRegular r:id="rId8" w:fontKey="{881EBE26-ABE6-4B44-B115-73BD8AEB780F}"/>
  </w:font>
  <w:font w:name="微软雅黑">
    <w:panose1 w:val="020B0503020204020204"/>
    <w:charset w:val="86"/>
    <w:family w:val="auto"/>
    <w:pitch w:val="default"/>
    <w:sig w:usb0="80000287" w:usb1="2ACF3C50" w:usb2="00000016" w:usb3="00000000" w:csb0="0004001F" w:csb1="00000000"/>
    <w:embedRegular r:id="rId9" w:fontKey="{460582CB-2E3C-4E13-831A-F71B6BA2249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94781956"/>
    </w:sdtPr>
    <w:sdtContent>
      <w:p>
        <w:pPr>
          <w:pStyle w:val="8"/>
          <w:jc w:val="center"/>
        </w:pPr>
        <w:r>
          <w:fldChar w:fldCharType="begin"/>
        </w:r>
        <w:r>
          <w:instrText xml:space="preserve">PAGE   \* MERGEFORMAT</w:instrText>
        </w:r>
        <w:r>
          <w:fldChar w:fldCharType="separate"/>
        </w:r>
        <w:r>
          <w:rPr>
            <w:lang w:val="zh-CN"/>
          </w:rPr>
          <w:t>8</w:t>
        </w:r>
        <w:r>
          <w:fldChar w:fldCharType="end"/>
        </w:r>
      </w:p>
    </w:sdtContent>
  </w:sdt>
  <w:p>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652CEC"/>
    <w:multiLevelType w:val="singleLevel"/>
    <w:tmpl w:val="CF652CEC"/>
    <w:lvl w:ilvl="0" w:tentative="0">
      <w:start w:val="9"/>
      <w:numFmt w:val="chineseCounting"/>
      <w:suff w:val="nothing"/>
      <w:lvlText w:val="%1、"/>
      <w:lvlJc w:val="left"/>
      <w:rPr>
        <w:rFonts w:hint="eastAsia"/>
      </w:rPr>
    </w:lvl>
  </w:abstractNum>
  <w:abstractNum w:abstractNumId="1">
    <w:nsid w:val="E2FA047D"/>
    <w:multiLevelType w:val="singleLevel"/>
    <w:tmpl w:val="E2FA047D"/>
    <w:lvl w:ilvl="0" w:tentative="0">
      <w:start w:val="3"/>
      <w:numFmt w:val="chineseCounting"/>
      <w:suff w:val="space"/>
      <w:lvlText w:val="第%1部分"/>
      <w:lvlJc w:val="left"/>
      <w:rPr>
        <w:rFonts w:hint="eastAsia" w:ascii="黑体" w:hAnsi="黑体" w:eastAsia="黑体" w:cs="黑体"/>
        <w:sz w:val="44"/>
        <w:szCs w:val="44"/>
      </w:rPr>
    </w:lvl>
  </w:abstractNum>
  <w:abstractNum w:abstractNumId="2">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3">
    <w:nsid w:val="3818A09A"/>
    <w:multiLevelType w:val="singleLevel"/>
    <w:tmpl w:val="3818A09A"/>
    <w:lvl w:ilvl="0" w:tentative="0">
      <w:start w:val="1"/>
      <w:numFmt w:val="chineseCounting"/>
      <w:suff w:val="nothing"/>
      <w:lvlText w:val="%1、"/>
      <w:lvlJc w:val="left"/>
      <w:rPr>
        <w:rFonts w:hint="eastAsia"/>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Q2ZmMyMGQzNmZlNTM3YmNjYmYzZGJlZDVmMGE2NzkifQ=="/>
  </w:docVars>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6D05"/>
    <w:rsid w:val="002F1818"/>
    <w:rsid w:val="002F567B"/>
    <w:rsid w:val="003216A9"/>
    <w:rsid w:val="00335A74"/>
    <w:rsid w:val="0036561B"/>
    <w:rsid w:val="0037013F"/>
    <w:rsid w:val="00380C92"/>
    <w:rsid w:val="003A484F"/>
    <w:rsid w:val="003A4883"/>
    <w:rsid w:val="003B0BE0"/>
    <w:rsid w:val="003B0C1B"/>
    <w:rsid w:val="003B688C"/>
    <w:rsid w:val="003C0291"/>
    <w:rsid w:val="003C39AE"/>
    <w:rsid w:val="003C7B60"/>
    <w:rsid w:val="003D0C0F"/>
    <w:rsid w:val="003D1FB2"/>
    <w:rsid w:val="003D66DA"/>
    <w:rsid w:val="003E1310"/>
    <w:rsid w:val="003E6F55"/>
    <w:rsid w:val="00406254"/>
    <w:rsid w:val="004223DE"/>
    <w:rsid w:val="00434489"/>
    <w:rsid w:val="00437085"/>
    <w:rsid w:val="00443880"/>
    <w:rsid w:val="004464F4"/>
    <w:rsid w:val="00471401"/>
    <w:rsid w:val="00473F31"/>
    <w:rsid w:val="0048263A"/>
    <w:rsid w:val="00487E5D"/>
    <w:rsid w:val="004A711F"/>
    <w:rsid w:val="004B199D"/>
    <w:rsid w:val="004B4690"/>
    <w:rsid w:val="004E0A2D"/>
    <w:rsid w:val="004E206B"/>
    <w:rsid w:val="004E6DF7"/>
    <w:rsid w:val="004F0FBD"/>
    <w:rsid w:val="00505A47"/>
    <w:rsid w:val="00512FDA"/>
    <w:rsid w:val="00520DA0"/>
    <w:rsid w:val="005664BB"/>
    <w:rsid w:val="00566FFA"/>
    <w:rsid w:val="0057481D"/>
    <w:rsid w:val="0058486E"/>
    <w:rsid w:val="00585B33"/>
    <w:rsid w:val="0059014D"/>
    <w:rsid w:val="005B5C64"/>
    <w:rsid w:val="005C533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A3141"/>
    <w:rsid w:val="006A5E34"/>
    <w:rsid w:val="006B2422"/>
    <w:rsid w:val="006B2B9A"/>
    <w:rsid w:val="006C1937"/>
    <w:rsid w:val="006D1937"/>
    <w:rsid w:val="006F020C"/>
    <w:rsid w:val="007127B7"/>
    <w:rsid w:val="0071798E"/>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348"/>
    <w:rsid w:val="008253BB"/>
    <w:rsid w:val="0083706E"/>
    <w:rsid w:val="008408F6"/>
    <w:rsid w:val="008423A5"/>
    <w:rsid w:val="00850625"/>
    <w:rsid w:val="00853718"/>
    <w:rsid w:val="00855221"/>
    <w:rsid w:val="00860645"/>
    <w:rsid w:val="00871F71"/>
    <w:rsid w:val="00872FD8"/>
    <w:rsid w:val="00885AF4"/>
    <w:rsid w:val="008939CD"/>
    <w:rsid w:val="008B768C"/>
    <w:rsid w:val="008C4DB1"/>
    <w:rsid w:val="008C4EAF"/>
    <w:rsid w:val="008C5176"/>
    <w:rsid w:val="008C7FD0"/>
    <w:rsid w:val="008E1DE7"/>
    <w:rsid w:val="008E707C"/>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39AB"/>
    <w:rsid w:val="00A56DF2"/>
    <w:rsid w:val="00A56E6E"/>
    <w:rsid w:val="00A67AB5"/>
    <w:rsid w:val="00A733B2"/>
    <w:rsid w:val="00A741C2"/>
    <w:rsid w:val="00A91760"/>
    <w:rsid w:val="00A93B00"/>
    <w:rsid w:val="00A93C21"/>
    <w:rsid w:val="00AB64C9"/>
    <w:rsid w:val="00AC3C6A"/>
    <w:rsid w:val="00AD558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77EA6"/>
    <w:rsid w:val="00B81598"/>
    <w:rsid w:val="00B841F1"/>
    <w:rsid w:val="00B944D6"/>
    <w:rsid w:val="00BB4DF0"/>
    <w:rsid w:val="00BC289F"/>
    <w:rsid w:val="00BC2D50"/>
    <w:rsid w:val="00BC5361"/>
    <w:rsid w:val="00BC5460"/>
    <w:rsid w:val="00BC6B50"/>
    <w:rsid w:val="00BD0E25"/>
    <w:rsid w:val="00BF5BD6"/>
    <w:rsid w:val="00C03E31"/>
    <w:rsid w:val="00C33E72"/>
    <w:rsid w:val="00C354B2"/>
    <w:rsid w:val="00C35554"/>
    <w:rsid w:val="00C42709"/>
    <w:rsid w:val="00C533CC"/>
    <w:rsid w:val="00C5751C"/>
    <w:rsid w:val="00C61BFC"/>
    <w:rsid w:val="00C62B85"/>
    <w:rsid w:val="00C65438"/>
    <w:rsid w:val="00C87FD8"/>
    <w:rsid w:val="00C91381"/>
    <w:rsid w:val="00C91CBB"/>
    <w:rsid w:val="00CB4E70"/>
    <w:rsid w:val="00CC09B6"/>
    <w:rsid w:val="00CC666F"/>
    <w:rsid w:val="00CD1E3F"/>
    <w:rsid w:val="00CE44F6"/>
    <w:rsid w:val="00CE49DA"/>
    <w:rsid w:val="00CE7B61"/>
    <w:rsid w:val="00D00095"/>
    <w:rsid w:val="00D114F0"/>
    <w:rsid w:val="00D20620"/>
    <w:rsid w:val="00D254F7"/>
    <w:rsid w:val="00D26091"/>
    <w:rsid w:val="00D2685C"/>
    <w:rsid w:val="00D34E7C"/>
    <w:rsid w:val="00D35489"/>
    <w:rsid w:val="00D36AFE"/>
    <w:rsid w:val="00D51276"/>
    <w:rsid w:val="00D5688F"/>
    <w:rsid w:val="00D7035F"/>
    <w:rsid w:val="00DA634F"/>
    <w:rsid w:val="00DA65AC"/>
    <w:rsid w:val="00DB1913"/>
    <w:rsid w:val="00DC410D"/>
    <w:rsid w:val="00DC5A81"/>
    <w:rsid w:val="00DC68CA"/>
    <w:rsid w:val="00DC7CBA"/>
    <w:rsid w:val="00DD73B7"/>
    <w:rsid w:val="00DF28BC"/>
    <w:rsid w:val="00DF34B9"/>
    <w:rsid w:val="00E01053"/>
    <w:rsid w:val="00E07ACF"/>
    <w:rsid w:val="00E331A1"/>
    <w:rsid w:val="00E33202"/>
    <w:rsid w:val="00E336A9"/>
    <w:rsid w:val="00E472B1"/>
    <w:rsid w:val="00E50624"/>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2F9D"/>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11F2A12"/>
    <w:rsid w:val="01852063"/>
    <w:rsid w:val="019E3125"/>
    <w:rsid w:val="01B6221C"/>
    <w:rsid w:val="01E943A0"/>
    <w:rsid w:val="02447828"/>
    <w:rsid w:val="02CD1F13"/>
    <w:rsid w:val="02E64D83"/>
    <w:rsid w:val="02F32FFC"/>
    <w:rsid w:val="033755DF"/>
    <w:rsid w:val="03600692"/>
    <w:rsid w:val="03667C72"/>
    <w:rsid w:val="039E740C"/>
    <w:rsid w:val="03A678E3"/>
    <w:rsid w:val="03EF7C67"/>
    <w:rsid w:val="040556DD"/>
    <w:rsid w:val="041C0FD1"/>
    <w:rsid w:val="04310E7B"/>
    <w:rsid w:val="0482288A"/>
    <w:rsid w:val="04EE765A"/>
    <w:rsid w:val="052851DF"/>
    <w:rsid w:val="053A2227"/>
    <w:rsid w:val="053A62B5"/>
    <w:rsid w:val="05412A0C"/>
    <w:rsid w:val="0548762F"/>
    <w:rsid w:val="05504736"/>
    <w:rsid w:val="055106A8"/>
    <w:rsid w:val="055661F0"/>
    <w:rsid w:val="05A607FA"/>
    <w:rsid w:val="05ED01D7"/>
    <w:rsid w:val="060379FA"/>
    <w:rsid w:val="062F6A41"/>
    <w:rsid w:val="06431E80"/>
    <w:rsid w:val="06510766"/>
    <w:rsid w:val="065D35AE"/>
    <w:rsid w:val="06874187"/>
    <w:rsid w:val="06EB6E0C"/>
    <w:rsid w:val="06F04339"/>
    <w:rsid w:val="06F77BFB"/>
    <w:rsid w:val="070B6B66"/>
    <w:rsid w:val="071874D5"/>
    <w:rsid w:val="07797F74"/>
    <w:rsid w:val="079E79DA"/>
    <w:rsid w:val="07A8669E"/>
    <w:rsid w:val="07B0770E"/>
    <w:rsid w:val="07CB254A"/>
    <w:rsid w:val="07F97307"/>
    <w:rsid w:val="08105E4C"/>
    <w:rsid w:val="0878647D"/>
    <w:rsid w:val="08A74FB5"/>
    <w:rsid w:val="09003C64"/>
    <w:rsid w:val="09246B6F"/>
    <w:rsid w:val="0932151D"/>
    <w:rsid w:val="097F55EA"/>
    <w:rsid w:val="0992356F"/>
    <w:rsid w:val="09A60DC8"/>
    <w:rsid w:val="09E244F6"/>
    <w:rsid w:val="0A033204"/>
    <w:rsid w:val="0A0F0DE6"/>
    <w:rsid w:val="0A2032A3"/>
    <w:rsid w:val="0A416420"/>
    <w:rsid w:val="0A4F1460"/>
    <w:rsid w:val="0A6D18E6"/>
    <w:rsid w:val="0A6F1B02"/>
    <w:rsid w:val="0A825391"/>
    <w:rsid w:val="0A896190"/>
    <w:rsid w:val="0AAE262A"/>
    <w:rsid w:val="0B136931"/>
    <w:rsid w:val="0B275E1D"/>
    <w:rsid w:val="0B304DED"/>
    <w:rsid w:val="0B425F77"/>
    <w:rsid w:val="0B552AA6"/>
    <w:rsid w:val="0B61144B"/>
    <w:rsid w:val="0B7A03D4"/>
    <w:rsid w:val="0B8200AD"/>
    <w:rsid w:val="0B8A37D8"/>
    <w:rsid w:val="0BAB0918"/>
    <w:rsid w:val="0BB43C70"/>
    <w:rsid w:val="0C0F0EA7"/>
    <w:rsid w:val="0C1718DA"/>
    <w:rsid w:val="0C3D0572"/>
    <w:rsid w:val="0C590374"/>
    <w:rsid w:val="0CC06645"/>
    <w:rsid w:val="0CD5655F"/>
    <w:rsid w:val="0CE9794A"/>
    <w:rsid w:val="0D0227BA"/>
    <w:rsid w:val="0D2941EA"/>
    <w:rsid w:val="0D5D5C42"/>
    <w:rsid w:val="0D6C40D7"/>
    <w:rsid w:val="0D71793F"/>
    <w:rsid w:val="0DA6726B"/>
    <w:rsid w:val="0DED16BC"/>
    <w:rsid w:val="0E353770"/>
    <w:rsid w:val="0E525837"/>
    <w:rsid w:val="0E6342AF"/>
    <w:rsid w:val="0E9C6117"/>
    <w:rsid w:val="0EB43F87"/>
    <w:rsid w:val="0F1113DA"/>
    <w:rsid w:val="0F68089E"/>
    <w:rsid w:val="0F9022FF"/>
    <w:rsid w:val="0FB87AA7"/>
    <w:rsid w:val="0FC70011"/>
    <w:rsid w:val="0FD0094D"/>
    <w:rsid w:val="0FDC0D1F"/>
    <w:rsid w:val="0FE67D3D"/>
    <w:rsid w:val="0FF87EA4"/>
    <w:rsid w:val="1002168A"/>
    <w:rsid w:val="10156CA8"/>
    <w:rsid w:val="1030763E"/>
    <w:rsid w:val="104A4BA3"/>
    <w:rsid w:val="106D32AB"/>
    <w:rsid w:val="10727C56"/>
    <w:rsid w:val="108856CC"/>
    <w:rsid w:val="10A06571"/>
    <w:rsid w:val="10B562D2"/>
    <w:rsid w:val="10C055FF"/>
    <w:rsid w:val="111B6540"/>
    <w:rsid w:val="11616526"/>
    <w:rsid w:val="116B3023"/>
    <w:rsid w:val="118107EC"/>
    <w:rsid w:val="11A42091"/>
    <w:rsid w:val="11B524F0"/>
    <w:rsid w:val="11D0732A"/>
    <w:rsid w:val="11D64215"/>
    <w:rsid w:val="11DD6519"/>
    <w:rsid w:val="12011F57"/>
    <w:rsid w:val="120314AE"/>
    <w:rsid w:val="12307DC9"/>
    <w:rsid w:val="12575356"/>
    <w:rsid w:val="125B4736"/>
    <w:rsid w:val="127557DC"/>
    <w:rsid w:val="12F40DF6"/>
    <w:rsid w:val="13021765"/>
    <w:rsid w:val="130C4392"/>
    <w:rsid w:val="13531FC1"/>
    <w:rsid w:val="13583FE1"/>
    <w:rsid w:val="1360023A"/>
    <w:rsid w:val="13912AE9"/>
    <w:rsid w:val="13BF213C"/>
    <w:rsid w:val="13CE5AEB"/>
    <w:rsid w:val="13D80718"/>
    <w:rsid w:val="13DD188A"/>
    <w:rsid w:val="13DE3898"/>
    <w:rsid w:val="13EC1613"/>
    <w:rsid w:val="13F310AE"/>
    <w:rsid w:val="13FA68E0"/>
    <w:rsid w:val="14076907"/>
    <w:rsid w:val="142A4AE2"/>
    <w:rsid w:val="14423DE3"/>
    <w:rsid w:val="147A17CF"/>
    <w:rsid w:val="149C53C4"/>
    <w:rsid w:val="14AB3737"/>
    <w:rsid w:val="1517421E"/>
    <w:rsid w:val="15A563D8"/>
    <w:rsid w:val="15AA1C40"/>
    <w:rsid w:val="15B40A6B"/>
    <w:rsid w:val="15B4486D"/>
    <w:rsid w:val="16610551"/>
    <w:rsid w:val="16692350"/>
    <w:rsid w:val="167A1613"/>
    <w:rsid w:val="16BB723D"/>
    <w:rsid w:val="16D74CB7"/>
    <w:rsid w:val="171E4694"/>
    <w:rsid w:val="17913B82"/>
    <w:rsid w:val="17AC6144"/>
    <w:rsid w:val="17B44FF8"/>
    <w:rsid w:val="17B812E8"/>
    <w:rsid w:val="17D271A4"/>
    <w:rsid w:val="17D62C90"/>
    <w:rsid w:val="18015F3F"/>
    <w:rsid w:val="18021E09"/>
    <w:rsid w:val="181B6E25"/>
    <w:rsid w:val="18441ED8"/>
    <w:rsid w:val="18722EE9"/>
    <w:rsid w:val="18982224"/>
    <w:rsid w:val="19010D17"/>
    <w:rsid w:val="19153875"/>
    <w:rsid w:val="19185113"/>
    <w:rsid w:val="19616ABA"/>
    <w:rsid w:val="19744A3F"/>
    <w:rsid w:val="19795399"/>
    <w:rsid w:val="199D21E8"/>
    <w:rsid w:val="199E1ABC"/>
    <w:rsid w:val="1A240213"/>
    <w:rsid w:val="1A6250D8"/>
    <w:rsid w:val="1A8839AA"/>
    <w:rsid w:val="1AB31597"/>
    <w:rsid w:val="1ABA2925"/>
    <w:rsid w:val="1B154000"/>
    <w:rsid w:val="1B291859"/>
    <w:rsid w:val="1B3A2DE8"/>
    <w:rsid w:val="1B3C333B"/>
    <w:rsid w:val="1B3C77DE"/>
    <w:rsid w:val="1B577131"/>
    <w:rsid w:val="1B5C1C2F"/>
    <w:rsid w:val="1B762A75"/>
    <w:rsid w:val="1B8A0CEC"/>
    <w:rsid w:val="1BA535D6"/>
    <w:rsid w:val="1BCC153A"/>
    <w:rsid w:val="1BDB3120"/>
    <w:rsid w:val="1BE8440E"/>
    <w:rsid w:val="1C19367C"/>
    <w:rsid w:val="1C313629"/>
    <w:rsid w:val="1C387FA6"/>
    <w:rsid w:val="1C566E7F"/>
    <w:rsid w:val="1C856F63"/>
    <w:rsid w:val="1C890801"/>
    <w:rsid w:val="1CA7512B"/>
    <w:rsid w:val="1CE84156"/>
    <w:rsid w:val="1D012A8E"/>
    <w:rsid w:val="1D155CEE"/>
    <w:rsid w:val="1D1F4CC2"/>
    <w:rsid w:val="1D5232E9"/>
    <w:rsid w:val="1D5A219E"/>
    <w:rsid w:val="1D7E5E8C"/>
    <w:rsid w:val="1D9D1444"/>
    <w:rsid w:val="1DE657E0"/>
    <w:rsid w:val="1DE877AA"/>
    <w:rsid w:val="1DF61EC7"/>
    <w:rsid w:val="1E0A53AF"/>
    <w:rsid w:val="1E1E31CB"/>
    <w:rsid w:val="1E29229C"/>
    <w:rsid w:val="1E492EAF"/>
    <w:rsid w:val="1E611101"/>
    <w:rsid w:val="1E6A01BF"/>
    <w:rsid w:val="1E7948A6"/>
    <w:rsid w:val="1E935967"/>
    <w:rsid w:val="1EAA4A5F"/>
    <w:rsid w:val="1EE12B77"/>
    <w:rsid w:val="1EEE2B9E"/>
    <w:rsid w:val="1F05089E"/>
    <w:rsid w:val="1F264A2D"/>
    <w:rsid w:val="1F6D61B8"/>
    <w:rsid w:val="1F9D6372"/>
    <w:rsid w:val="20261980"/>
    <w:rsid w:val="2039253E"/>
    <w:rsid w:val="20614A56"/>
    <w:rsid w:val="20645F10"/>
    <w:rsid w:val="20662CCE"/>
    <w:rsid w:val="207B2B57"/>
    <w:rsid w:val="207B66B3"/>
    <w:rsid w:val="209239FD"/>
    <w:rsid w:val="209244B7"/>
    <w:rsid w:val="20A16773"/>
    <w:rsid w:val="20AF2801"/>
    <w:rsid w:val="20F57F95"/>
    <w:rsid w:val="20F621DE"/>
    <w:rsid w:val="21240AF9"/>
    <w:rsid w:val="2130749E"/>
    <w:rsid w:val="21494A03"/>
    <w:rsid w:val="216B500D"/>
    <w:rsid w:val="217429A0"/>
    <w:rsid w:val="21F77FBB"/>
    <w:rsid w:val="223236E9"/>
    <w:rsid w:val="22821F7B"/>
    <w:rsid w:val="22857CBD"/>
    <w:rsid w:val="22946460"/>
    <w:rsid w:val="233D40F4"/>
    <w:rsid w:val="23531B69"/>
    <w:rsid w:val="236A792E"/>
    <w:rsid w:val="23993406"/>
    <w:rsid w:val="23ED3D6C"/>
    <w:rsid w:val="240371BF"/>
    <w:rsid w:val="242F6132"/>
    <w:rsid w:val="24653902"/>
    <w:rsid w:val="246A0F18"/>
    <w:rsid w:val="249031BD"/>
    <w:rsid w:val="2492046F"/>
    <w:rsid w:val="24A46A6E"/>
    <w:rsid w:val="24AF2DCF"/>
    <w:rsid w:val="24B93C4E"/>
    <w:rsid w:val="24CF3AD2"/>
    <w:rsid w:val="25007ACF"/>
    <w:rsid w:val="25051516"/>
    <w:rsid w:val="250A64A0"/>
    <w:rsid w:val="25100D20"/>
    <w:rsid w:val="2524556B"/>
    <w:rsid w:val="25284930"/>
    <w:rsid w:val="252F5CBE"/>
    <w:rsid w:val="25711CC6"/>
    <w:rsid w:val="257864E4"/>
    <w:rsid w:val="258D6E68"/>
    <w:rsid w:val="25BF34E6"/>
    <w:rsid w:val="25C741E6"/>
    <w:rsid w:val="25E22D30"/>
    <w:rsid w:val="2648198B"/>
    <w:rsid w:val="264D0AF2"/>
    <w:rsid w:val="265754CC"/>
    <w:rsid w:val="266F6CBA"/>
    <w:rsid w:val="26747E2C"/>
    <w:rsid w:val="269845BF"/>
    <w:rsid w:val="26E256DE"/>
    <w:rsid w:val="27127645"/>
    <w:rsid w:val="27624129"/>
    <w:rsid w:val="27840543"/>
    <w:rsid w:val="27842671"/>
    <w:rsid w:val="27A91D58"/>
    <w:rsid w:val="27B65BE3"/>
    <w:rsid w:val="28117B21"/>
    <w:rsid w:val="282835C4"/>
    <w:rsid w:val="28425D08"/>
    <w:rsid w:val="2849353B"/>
    <w:rsid w:val="2859377E"/>
    <w:rsid w:val="288D78CB"/>
    <w:rsid w:val="291B4ED7"/>
    <w:rsid w:val="295F5E6C"/>
    <w:rsid w:val="29E67293"/>
    <w:rsid w:val="29FD04D3"/>
    <w:rsid w:val="2A3873C3"/>
    <w:rsid w:val="2A792360"/>
    <w:rsid w:val="2A924D25"/>
    <w:rsid w:val="2A97058D"/>
    <w:rsid w:val="2ABE7A3E"/>
    <w:rsid w:val="2AEA2DB3"/>
    <w:rsid w:val="2B2F4C6A"/>
    <w:rsid w:val="2B3B716B"/>
    <w:rsid w:val="2B485D2C"/>
    <w:rsid w:val="2B6166B9"/>
    <w:rsid w:val="2B795EE5"/>
    <w:rsid w:val="2BA72A52"/>
    <w:rsid w:val="2BC2163A"/>
    <w:rsid w:val="2C2422F5"/>
    <w:rsid w:val="2C385D6B"/>
    <w:rsid w:val="2C577EAD"/>
    <w:rsid w:val="2C8903AA"/>
    <w:rsid w:val="2CA156F3"/>
    <w:rsid w:val="2CA234A8"/>
    <w:rsid w:val="2CC55886"/>
    <w:rsid w:val="2CD467F1"/>
    <w:rsid w:val="2CDA6E57"/>
    <w:rsid w:val="2CDF6C0E"/>
    <w:rsid w:val="2CE11F94"/>
    <w:rsid w:val="2D177764"/>
    <w:rsid w:val="2D1C7470"/>
    <w:rsid w:val="2D46629B"/>
    <w:rsid w:val="2D6F75A0"/>
    <w:rsid w:val="2D7352E2"/>
    <w:rsid w:val="2D7E77E3"/>
    <w:rsid w:val="2D972291"/>
    <w:rsid w:val="2D990AC0"/>
    <w:rsid w:val="2DCC2C44"/>
    <w:rsid w:val="2E422F06"/>
    <w:rsid w:val="2EB711FE"/>
    <w:rsid w:val="2EFA178C"/>
    <w:rsid w:val="2F067A90"/>
    <w:rsid w:val="2F1F2F1F"/>
    <w:rsid w:val="2F6A27D7"/>
    <w:rsid w:val="2FA33530"/>
    <w:rsid w:val="2FA379D4"/>
    <w:rsid w:val="2FAA48BF"/>
    <w:rsid w:val="2FAE19EB"/>
    <w:rsid w:val="2FE5251F"/>
    <w:rsid w:val="2FF7387C"/>
    <w:rsid w:val="301D2C19"/>
    <w:rsid w:val="302A7720"/>
    <w:rsid w:val="30395C43"/>
    <w:rsid w:val="30586A11"/>
    <w:rsid w:val="309335A5"/>
    <w:rsid w:val="30AB4D93"/>
    <w:rsid w:val="30AC4667"/>
    <w:rsid w:val="30B44B89"/>
    <w:rsid w:val="30B46D73"/>
    <w:rsid w:val="31101099"/>
    <w:rsid w:val="313E1763"/>
    <w:rsid w:val="315C608D"/>
    <w:rsid w:val="316816EC"/>
    <w:rsid w:val="319F7F4E"/>
    <w:rsid w:val="31BE4652"/>
    <w:rsid w:val="31D05FA6"/>
    <w:rsid w:val="31D16A7B"/>
    <w:rsid w:val="32002EBC"/>
    <w:rsid w:val="32370516"/>
    <w:rsid w:val="32A7338B"/>
    <w:rsid w:val="32D97CB7"/>
    <w:rsid w:val="32EB2964"/>
    <w:rsid w:val="3307027A"/>
    <w:rsid w:val="33072028"/>
    <w:rsid w:val="335A484E"/>
    <w:rsid w:val="335C05C6"/>
    <w:rsid w:val="336D3876"/>
    <w:rsid w:val="33792F26"/>
    <w:rsid w:val="33A87367"/>
    <w:rsid w:val="33C30645"/>
    <w:rsid w:val="33E800AC"/>
    <w:rsid w:val="33F64577"/>
    <w:rsid w:val="340622E0"/>
    <w:rsid w:val="340D7B12"/>
    <w:rsid w:val="342B123D"/>
    <w:rsid w:val="342F1837"/>
    <w:rsid w:val="346C2A8B"/>
    <w:rsid w:val="348F11AA"/>
    <w:rsid w:val="34C401D1"/>
    <w:rsid w:val="34C957E7"/>
    <w:rsid w:val="34DF500B"/>
    <w:rsid w:val="34EF0FC6"/>
    <w:rsid w:val="34F61A41"/>
    <w:rsid w:val="350902DA"/>
    <w:rsid w:val="350933CD"/>
    <w:rsid w:val="350C7DCA"/>
    <w:rsid w:val="35101668"/>
    <w:rsid w:val="35223149"/>
    <w:rsid w:val="357A2F85"/>
    <w:rsid w:val="35977693"/>
    <w:rsid w:val="359F0C3E"/>
    <w:rsid w:val="35F538EC"/>
    <w:rsid w:val="361B6516"/>
    <w:rsid w:val="362923AD"/>
    <w:rsid w:val="36321BA8"/>
    <w:rsid w:val="36370E76"/>
    <w:rsid w:val="3639607D"/>
    <w:rsid w:val="364C2B74"/>
    <w:rsid w:val="3667175C"/>
    <w:rsid w:val="36A858D0"/>
    <w:rsid w:val="36BB1AA7"/>
    <w:rsid w:val="36BE4631"/>
    <w:rsid w:val="36D93CDC"/>
    <w:rsid w:val="371F423B"/>
    <w:rsid w:val="373E4623"/>
    <w:rsid w:val="37533A8E"/>
    <w:rsid w:val="377A51B9"/>
    <w:rsid w:val="37A8202C"/>
    <w:rsid w:val="37BC1633"/>
    <w:rsid w:val="38033706"/>
    <w:rsid w:val="381C0324"/>
    <w:rsid w:val="383218F5"/>
    <w:rsid w:val="383D272C"/>
    <w:rsid w:val="383D6DCE"/>
    <w:rsid w:val="38613F89"/>
    <w:rsid w:val="3862042D"/>
    <w:rsid w:val="3894610C"/>
    <w:rsid w:val="38A5656B"/>
    <w:rsid w:val="38A65E3F"/>
    <w:rsid w:val="38C369F1"/>
    <w:rsid w:val="395F6BB3"/>
    <w:rsid w:val="39755F3E"/>
    <w:rsid w:val="397B70F5"/>
    <w:rsid w:val="39934616"/>
    <w:rsid w:val="399E647D"/>
    <w:rsid w:val="39AE70AB"/>
    <w:rsid w:val="39D54C2E"/>
    <w:rsid w:val="39E3734B"/>
    <w:rsid w:val="39FD5F33"/>
    <w:rsid w:val="3A345DF9"/>
    <w:rsid w:val="3A5615A4"/>
    <w:rsid w:val="3AC30F2B"/>
    <w:rsid w:val="3AD2116E"/>
    <w:rsid w:val="3ADB369B"/>
    <w:rsid w:val="3B0532F1"/>
    <w:rsid w:val="3B533783"/>
    <w:rsid w:val="3B563B4D"/>
    <w:rsid w:val="3B716BD9"/>
    <w:rsid w:val="3BEE647B"/>
    <w:rsid w:val="3C0B2B89"/>
    <w:rsid w:val="3C0C0783"/>
    <w:rsid w:val="3C101EF8"/>
    <w:rsid w:val="3C215F09"/>
    <w:rsid w:val="3C487939"/>
    <w:rsid w:val="3C6803F5"/>
    <w:rsid w:val="3C771FCD"/>
    <w:rsid w:val="3CF33D49"/>
    <w:rsid w:val="3D0C06AA"/>
    <w:rsid w:val="3D1E4B3E"/>
    <w:rsid w:val="3D2F4655"/>
    <w:rsid w:val="3D606F05"/>
    <w:rsid w:val="3D6562C9"/>
    <w:rsid w:val="3D8F1598"/>
    <w:rsid w:val="3D913562"/>
    <w:rsid w:val="3E2B12C1"/>
    <w:rsid w:val="3E3D0F32"/>
    <w:rsid w:val="3E416D36"/>
    <w:rsid w:val="3E7E7642"/>
    <w:rsid w:val="3E927592"/>
    <w:rsid w:val="3EE651E8"/>
    <w:rsid w:val="3F081602"/>
    <w:rsid w:val="3F373C95"/>
    <w:rsid w:val="3F41048B"/>
    <w:rsid w:val="3F47212A"/>
    <w:rsid w:val="3F9F3A96"/>
    <w:rsid w:val="3FE931E1"/>
    <w:rsid w:val="404C700D"/>
    <w:rsid w:val="406867FC"/>
    <w:rsid w:val="40860A30"/>
    <w:rsid w:val="40D774DE"/>
    <w:rsid w:val="41006A35"/>
    <w:rsid w:val="411C1395"/>
    <w:rsid w:val="419929E5"/>
    <w:rsid w:val="41B33AA7"/>
    <w:rsid w:val="41EE0048"/>
    <w:rsid w:val="41F8595E"/>
    <w:rsid w:val="41F96066"/>
    <w:rsid w:val="42293D69"/>
    <w:rsid w:val="42380450"/>
    <w:rsid w:val="428D5136"/>
    <w:rsid w:val="42A12833"/>
    <w:rsid w:val="42AF6F00"/>
    <w:rsid w:val="42E43D4F"/>
    <w:rsid w:val="43170066"/>
    <w:rsid w:val="431B5DA8"/>
    <w:rsid w:val="43210EE4"/>
    <w:rsid w:val="43454BD3"/>
    <w:rsid w:val="43476B9D"/>
    <w:rsid w:val="43BB4E95"/>
    <w:rsid w:val="43D30430"/>
    <w:rsid w:val="43EE526A"/>
    <w:rsid w:val="43F16B09"/>
    <w:rsid w:val="43F84EA0"/>
    <w:rsid w:val="442E5667"/>
    <w:rsid w:val="44462CE9"/>
    <w:rsid w:val="444A7FC7"/>
    <w:rsid w:val="446A440B"/>
    <w:rsid w:val="451D02FB"/>
    <w:rsid w:val="454E5E7D"/>
    <w:rsid w:val="45662126"/>
    <w:rsid w:val="456A5861"/>
    <w:rsid w:val="457A48DC"/>
    <w:rsid w:val="45866DA0"/>
    <w:rsid w:val="458D1E80"/>
    <w:rsid w:val="458F482B"/>
    <w:rsid w:val="459C60B2"/>
    <w:rsid w:val="45B95404"/>
    <w:rsid w:val="45C76993"/>
    <w:rsid w:val="45F262DF"/>
    <w:rsid w:val="45F621B4"/>
    <w:rsid w:val="46003033"/>
    <w:rsid w:val="466E61EE"/>
    <w:rsid w:val="46AD40E3"/>
    <w:rsid w:val="46ED7A5B"/>
    <w:rsid w:val="472F1E22"/>
    <w:rsid w:val="474755F6"/>
    <w:rsid w:val="474D04FA"/>
    <w:rsid w:val="47590C4D"/>
    <w:rsid w:val="478F28C0"/>
    <w:rsid w:val="47A125F4"/>
    <w:rsid w:val="47B652E6"/>
    <w:rsid w:val="47C14CDB"/>
    <w:rsid w:val="480908C5"/>
    <w:rsid w:val="482F19AD"/>
    <w:rsid w:val="48311D25"/>
    <w:rsid w:val="484C07B1"/>
    <w:rsid w:val="486A6E89"/>
    <w:rsid w:val="487F4B5D"/>
    <w:rsid w:val="48912668"/>
    <w:rsid w:val="48A44149"/>
    <w:rsid w:val="48BD520B"/>
    <w:rsid w:val="48BF60AB"/>
    <w:rsid w:val="48C22822"/>
    <w:rsid w:val="492F35B5"/>
    <w:rsid w:val="493C27E9"/>
    <w:rsid w:val="496F39ED"/>
    <w:rsid w:val="499046CE"/>
    <w:rsid w:val="499731BB"/>
    <w:rsid w:val="49C55E23"/>
    <w:rsid w:val="49FF41D3"/>
    <w:rsid w:val="4A070E34"/>
    <w:rsid w:val="4A17094B"/>
    <w:rsid w:val="4A407EA2"/>
    <w:rsid w:val="4A484FA8"/>
    <w:rsid w:val="4A655B5A"/>
    <w:rsid w:val="4A9B157C"/>
    <w:rsid w:val="4B215612"/>
    <w:rsid w:val="4B2C6669"/>
    <w:rsid w:val="4B7C13AE"/>
    <w:rsid w:val="4B8E10E1"/>
    <w:rsid w:val="4BA17066"/>
    <w:rsid w:val="4BDC1E4C"/>
    <w:rsid w:val="4BE068DB"/>
    <w:rsid w:val="4BF6002B"/>
    <w:rsid w:val="4C2832E3"/>
    <w:rsid w:val="4C2C1CD9"/>
    <w:rsid w:val="4C3C0B3D"/>
    <w:rsid w:val="4C416153"/>
    <w:rsid w:val="4C7E2F03"/>
    <w:rsid w:val="4C8F5111"/>
    <w:rsid w:val="4D2B308B"/>
    <w:rsid w:val="4D2C295F"/>
    <w:rsid w:val="4D6E5660"/>
    <w:rsid w:val="4D9329DF"/>
    <w:rsid w:val="4D9F3131"/>
    <w:rsid w:val="4DB12E65"/>
    <w:rsid w:val="4DB67BB7"/>
    <w:rsid w:val="4DC6776A"/>
    <w:rsid w:val="4DF55447"/>
    <w:rsid w:val="4E191136"/>
    <w:rsid w:val="4E2A6E70"/>
    <w:rsid w:val="4E302968"/>
    <w:rsid w:val="4E3B72FE"/>
    <w:rsid w:val="4E4361B3"/>
    <w:rsid w:val="4E7D7917"/>
    <w:rsid w:val="4E920EE8"/>
    <w:rsid w:val="4EBA588F"/>
    <w:rsid w:val="4ECE2238"/>
    <w:rsid w:val="4ED9236E"/>
    <w:rsid w:val="4F1418FD"/>
    <w:rsid w:val="4F5D5052"/>
    <w:rsid w:val="4F7E4024"/>
    <w:rsid w:val="4FA05635"/>
    <w:rsid w:val="4FB1539E"/>
    <w:rsid w:val="4FBC446F"/>
    <w:rsid w:val="4FC66D94"/>
    <w:rsid w:val="4FCC4EEF"/>
    <w:rsid w:val="5166324A"/>
    <w:rsid w:val="51752B27"/>
    <w:rsid w:val="51917235"/>
    <w:rsid w:val="51B66C05"/>
    <w:rsid w:val="51DB4B86"/>
    <w:rsid w:val="51EC090F"/>
    <w:rsid w:val="52224331"/>
    <w:rsid w:val="52240635"/>
    <w:rsid w:val="522E0F28"/>
    <w:rsid w:val="523D75EC"/>
    <w:rsid w:val="525B34C0"/>
    <w:rsid w:val="52600765"/>
    <w:rsid w:val="52680F49"/>
    <w:rsid w:val="528154FB"/>
    <w:rsid w:val="529214B7"/>
    <w:rsid w:val="529D61AF"/>
    <w:rsid w:val="52F1442F"/>
    <w:rsid w:val="5326489C"/>
    <w:rsid w:val="5335181E"/>
    <w:rsid w:val="536410A5"/>
    <w:rsid w:val="536C7F5A"/>
    <w:rsid w:val="536E1810"/>
    <w:rsid w:val="538E7ED0"/>
    <w:rsid w:val="53BF452D"/>
    <w:rsid w:val="53DC50DF"/>
    <w:rsid w:val="54150E7E"/>
    <w:rsid w:val="543F741C"/>
    <w:rsid w:val="549F610D"/>
    <w:rsid w:val="54A53299"/>
    <w:rsid w:val="54A959DE"/>
    <w:rsid w:val="55083CB2"/>
    <w:rsid w:val="55333C3E"/>
    <w:rsid w:val="553B7BE4"/>
    <w:rsid w:val="55B87486"/>
    <w:rsid w:val="55EA4E82"/>
    <w:rsid w:val="55FD2F0B"/>
    <w:rsid w:val="56087E8A"/>
    <w:rsid w:val="563F54B2"/>
    <w:rsid w:val="56AB0D99"/>
    <w:rsid w:val="56B06080"/>
    <w:rsid w:val="56B21332"/>
    <w:rsid w:val="56C37E91"/>
    <w:rsid w:val="56DC0F52"/>
    <w:rsid w:val="57225757"/>
    <w:rsid w:val="5728063B"/>
    <w:rsid w:val="5798756F"/>
    <w:rsid w:val="57CC7219"/>
    <w:rsid w:val="57F62A4B"/>
    <w:rsid w:val="582708F3"/>
    <w:rsid w:val="582E57DE"/>
    <w:rsid w:val="584C035A"/>
    <w:rsid w:val="589A7317"/>
    <w:rsid w:val="589C3BD6"/>
    <w:rsid w:val="589C6BEB"/>
    <w:rsid w:val="58AD3CE3"/>
    <w:rsid w:val="58AF1C0F"/>
    <w:rsid w:val="58B8154B"/>
    <w:rsid w:val="58C16652"/>
    <w:rsid w:val="58D148F4"/>
    <w:rsid w:val="590B7E91"/>
    <w:rsid w:val="593439CC"/>
    <w:rsid w:val="594204CF"/>
    <w:rsid w:val="594D4389"/>
    <w:rsid w:val="595E4853"/>
    <w:rsid w:val="597E2608"/>
    <w:rsid w:val="59927FEE"/>
    <w:rsid w:val="59D40607"/>
    <w:rsid w:val="59D46859"/>
    <w:rsid w:val="5A4B3F32"/>
    <w:rsid w:val="5A7A52D0"/>
    <w:rsid w:val="5A7B0A82"/>
    <w:rsid w:val="5A7F64E2"/>
    <w:rsid w:val="5AE14D89"/>
    <w:rsid w:val="5AE20B01"/>
    <w:rsid w:val="5B364AF8"/>
    <w:rsid w:val="5B595267"/>
    <w:rsid w:val="5B876AF2"/>
    <w:rsid w:val="5BE70AC5"/>
    <w:rsid w:val="5BED3C02"/>
    <w:rsid w:val="5C3F5307"/>
    <w:rsid w:val="5C5B6DBD"/>
    <w:rsid w:val="5C627E9D"/>
    <w:rsid w:val="5CA644DC"/>
    <w:rsid w:val="5CA74231"/>
    <w:rsid w:val="5CAF2C65"/>
    <w:rsid w:val="5CE71EEB"/>
    <w:rsid w:val="5CEA5285"/>
    <w:rsid w:val="5D0336DD"/>
    <w:rsid w:val="5D172CE4"/>
    <w:rsid w:val="5D1E4633"/>
    <w:rsid w:val="5D4930BA"/>
    <w:rsid w:val="5DAE408C"/>
    <w:rsid w:val="5E0A0A9B"/>
    <w:rsid w:val="5E23390B"/>
    <w:rsid w:val="5E453881"/>
    <w:rsid w:val="5E745F14"/>
    <w:rsid w:val="5E7D126D"/>
    <w:rsid w:val="5E8425FB"/>
    <w:rsid w:val="5E875C48"/>
    <w:rsid w:val="5EEE216B"/>
    <w:rsid w:val="5EF808F3"/>
    <w:rsid w:val="5EFA28BD"/>
    <w:rsid w:val="5F313E05"/>
    <w:rsid w:val="5F3202A9"/>
    <w:rsid w:val="5F4D6E91"/>
    <w:rsid w:val="5F701483"/>
    <w:rsid w:val="5F7979D9"/>
    <w:rsid w:val="5F93061C"/>
    <w:rsid w:val="5FC829BC"/>
    <w:rsid w:val="5FD44EBD"/>
    <w:rsid w:val="60163727"/>
    <w:rsid w:val="6018641D"/>
    <w:rsid w:val="607D5554"/>
    <w:rsid w:val="6098413C"/>
    <w:rsid w:val="60A24FBB"/>
    <w:rsid w:val="60C56EFB"/>
    <w:rsid w:val="60D333C6"/>
    <w:rsid w:val="611759A9"/>
    <w:rsid w:val="61891CD7"/>
    <w:rsid w:val="618B1EF3"/>
    <w:rsid w:val="61D45648"/>
    <w:rsid w:val="61E675FC"/>
    <w:rsid w:val="61EF4230"/>
    <w:rsid w:val="6212015A"/>
    <w:rsid w:val="621519D0"/>
    <w:rsid w:val="62314848"/>
    <w:rsid w:val="624330B6"/>
    <w:rsid w:val="62487DE4"/>
    <w:rsid w:val="62A3326C"/>
    <w:rsid w:val="62C71D5D"/>
    <w:rsid w:val="62F93ED3"/>
    <w:rsid w:val="63147CC6"/>
    <w:rsid w:val="63293771"/>
    <w:rsid w:val="63691DC0"/>
    <w:rsid w:val="63BA6ABF"/>
    <w:rsid w:val="63D21525"/>
    <w:rsid w:val="64025D70"/>
    <w:rsid w:val="640970FF"/>
    <w:rsid w:val="64833355"/>
    <w:rsid w:val="64B96D77"/>
    <w:rsid w:val="64CA39A1"/>
    <w:rsid w:val="64CD176A"/>
    <w:rsid w:val="65476131"/>
    <w:rsid w:val="65644F35"/>
    <w:rsid w:val="65A9703A"/>
    <w:rsid w:val="65DA51F7"/>
    <w:rsid w:val="667473F9"/>
    <w:rsid w:val="66786A68"/>
    <w:rsid w:val="66882EA5"/>
    <w:rsid w:val="66B45A48"/>
    <w:rsid w:val="66BC2B4E"/>
    <w:rsid w:val="66C20165"/>
    <w:rsid w:val="66C814F3"/>
    <w:rsid w:val="66E3632D"/>
    <w:rsid w:val="671309C0"/>
    <w:rsid w:val="671D183F"/>
    <w:rsid w:val="675C465F"/>
    <w:rsid w:val="67917B37"/>
    <w:rsid w:val="67CB3049"/>
    <w:rsid w:val="67D5211A"/>
    <w:rsid w:val="68CE7E74"/>
    <w:rsid w:val="68D73C6F"/>
    <w:rsid w:val="68E5013A"/>
    <w:rsid w:val="68F13DF3"/>
    <w:rsid w:val="69272501"/>
    <w:rsid w:val="692D1AE1"/>
    <w:rsid w:val="69584DB0"/>
    <w:rsid w:val="69630ADE"/>
    <w:rsid w:val="698E2580"/>
    <w:rsid w:val="69A75812"/>
    <w:rsid w:val="6A4E3ABD"/>
    <w:rsid w:val="6A6D6639"/>
    <w:rsid w:val="6ABE6E95"/>
    <w:rsid w:val="6AD4734E"/>
    <w:rsid w:val="6AE0505D"/>
    <w:rsid w:val="6AEB57B0"/>
    <w:rsid w:val="6B286A04"/>
    <w:rsid w:val="6B2A0087"/>
    <w:rsid w:val="6B2D401B"/>
    <w:rsid w:val="6B685053"/>
    <w:rsid w:val="6B945E48"/>
    <w:rsid w:val="6BA3608B"/>
    <w:rsid w:val="6BBB5183"/>
    <w:rsid w:val="6C397F1D"/>
    <w:rsid w:val="6C4433CA"/>
    <w:rsid w:val="6C4A05C8"/>
    <w:rsid w:val="6C5775A1"/>
    <w:rsid w:val="6C9D0D2C"/>
    <w:rsid w:val="6CF6628F"/>
    <w:rsid w:val="6CFE36B4"/>
    <w:rsid w:val="6D1C60F5"/>
    <w:rsid w:val="6D237483"/>
    <w:rsid w:val="6D2452A0"/>
    <w:rsid w:val="6D3B1A89"/>
    <w:rsid w:val="6D5C5AB8"/>
    <w:rsid w:val="6DA560EA"/>
    <w:rsid w:val="6DAA1953"/>
    <w:rsid w:val="6DC04CD2"/>
    <w:rsid w:val="6DF17581"/>
    <w:rsid w:val="6E054DDB"/>
    <w:rsid w:val="6E31797E"/>
    <w:rsid w:val="6E573888"/>
    <w:rsid w:val="6E645FA5"/>
    <w:rsid w:val="6E677844"/>
    <w:rsid w:val="6E80463B"/>
    <w:rsid w:val="6E9C129B"/>
    <w:rsid w:val="6EB365E5"/>
    <w:rsid w:val="6EB6414C"/>
    <w:rsid w:val="6EC84D35"/>
    <w:rsid w:val="6ED722D3"/>
    <w:rsid w:val="6F086931"/>
    <w:rsid w:val="6F174CC1"/>
    <w:rsid w:val="6F2179F2"/>
    <w:rsid w:val="6F5558EE"/>
    <w:rsid w:val="6F7951FD"/>
    <w:rsid w:val="6FA128E1"/>
    <w:rsid w:val="6FCC5BB0"/>
    <w:rsid w:val="6FEC1DAE"/>
    <w:rsid w:val="701B055C"/>
    <w:rsid w:val="70840239"/>
    <w:rsid w:val="708A15C7"/>
    <w:rsid w:val="70E76A1A"/>
    <w:rsid w:val="70F058CE"/>
    <w:rsid w:val="70F3589E"/>
    <w:rsid w:val="70F52EE5"/>
    <w:rsid w:val="716342F2"/>
    <w:rsid w:val="71773A1C"/>
    <w:rsid w:val="71AA3CCF"/>
    <w:rsid w:val="71BF4EC2"/>
    <w:rsid w:val="724539F8"/>
    <w:rsid w:val="724F4877"/>
    <w:rsid w:val="725E2D0C"/>
    <w:rsid w:val="72701068"/>
    <w:rsid w:val="72734D90"/>
    <w:rsid w:val="7298446F"/>
    <w:rsid w:val="729F75AC"/>
    <w:rsid w:val="72CB03A1"/>
    <w:rsid w:val="731004AA"/>
    <w:rsid w:val="73137F9A"/>
    <w:rsid w:val="73256978"/>
    <w:rsid w:val="733817AF"/>
    <w:rsid w:val="73667321"/>
    <w:rsid w:val="73700F48"/>
    <w:rsid w:val="738C795F"/>
    <w:rsid w:val="739D6720"/>
    <w:rsid w:val="73B344DE"/>
    <w:rsid w:val="73BC418E"/>
    <w:rsid w:val="73F73418"/>
    <w:rsid w:val="7412278C"/>
    <w:rsid w:val="742F4960"/>
    <w:rsid w:val="746565D3"/>
    <w:rsid w:val="746F1200"/>
    <w:rsid w:val="749D7B1B"/>
    <w:rsid w:val="74CA04DD"/>
    <w:rsid w:val="74D16BF9"/>
    <w:rsid w:val="74D53759"/>
    <w:rsid w:val="74E03EAC"/>
    <w:rsid w:val="74FD06AA"/>
    <w:rsid w:val="754601B3"/>
    <w:rsid w:val="754937FF"/>
    <w:rsid w:val="756E770A"/>
    <w:rsid w:val="75790588"/>
    <w:rsid w:val="757E794D"/>
    <w:rsid w:val="75BC2223"/>
    <w:rsid w:val="76165DD7"/>
    <w:rsid w:val="76564426"/>
    <w:rsid w:val="76612DCA"/>
    <w:rsid w:val="76B80C3C"/>
    <w:rsid w:val="76C07BAD"/>
    <w:rsid w:val="76D161A2"/>
    <w:rsid w:val="771362FE"/>
    <w:rsid w:val="772207AC"/>
    <w:rsid w:val="772B7660"/>
    <w:rsid w:val="7750356B"/>
    <w:rsid w:val="77E60E8B"/>
    <w:rsid w:val="780103C1"/>
    <w:rsid w:val="7808174F"/>
    <w:rsid w:val="780B3776"/>
    <w:rsid w:val="78112CFA"/>
    <w:rsid w:val="78AC657F"/>
    <w:rsid w:val="78E24696"/>
    <w:rsid w:val="79314CD6"/>
    <w:rsid w:val="79450781"/>
    <w:rsid w:val="795209AA"/>
    <w:rsid w:val="79974C49"/>
    <w:rsid w:val="79D7587D"/>
    <w:rsid w:val="79E7B28D"/>
    <w:rsid w:val="7A3126BD"/>
    <w:rsid w:val="7A4D3D91"/>
    <w:rsid w:val="7A540C7C"/>
    <w:rsid w:val="7A583B2A"/>
    <w:rsid w:val="7A70566A"/>
    <w:rsid w:val="7A94551C"/>
    <w:rsid w:val="7A9E45ED"/>
    <w:rsid w:val="7AA624B2"/>
    <w:rsid w:val="7AC04563"/>
    <w:rsid w:val="7ACE4ED2"/>
    <w:rsid w:val="7AD16771"/>
    <w:rsid w:val="7AD4000F"/>
    <w:rsid w:val="7AE71AF0"/>
    <w:rsid w:val="7B034450"/>
    <w:rsid w:val="7BA936B9"/>
    <w:rsid w:val="7BC13DBD"/>
    <w:rsid w:val="7BE10C35"/>
    <w:rsid w:val="7BEB1AB4"/>
    <w:rsid w:val="7C1F350C"/>
    <w:rsid w:val="7C541407"/>
    <w:rsid w:val="7C7970C0"/>
    <w:rsid w:val="7C8021FC"/>
    <w:rsid w:val="7CAA54CB"/>
    <w:rsid w:val="7CB00608"/>
    <w:rsid w:val="7CD42548"/>
    <w:rsid w:val="7CF60710"/>
    <w:rsid w:val="7D254B52"/>
    <w:rsid w:val="7D73629F"/>
    <w:rsid w:val="7D99109C"/>
    <w:rsid w:val="7D991CAE"/>
    <w:rsid w:val="7DD520D4"/>
    <w:rsid w:val="7DFB58B2"/>
    <w:rsid w:val="7E130E4E"/>
    <w:rsid w:val="7E33504C"/>
    <w:rsid w:val="7E492AC2"/>
    <w:rsid w:val="7E9521CD"/>
    <w:rsid w:val="7EA131CA"/>
    <w:rsid w:val="7EBB39C0"/>
    <w:rsid w:val="7EC64112"/>
    <w:rsid w:val="7EDC7492"/>
    <w:rsid w:val="7EE36A72"/>
    <w:rsid w:val="7F182BC0"/>
    <w:rsid w:val="7F4A4D43"/>
    <w:rsid w:val="7F8C2C66"/>
    <w:rsid w:val="7F945FBF"/>
    <w:rsid w:val="7F9F20EE"/>
    <w:rsid w:val="7FB77DFB"/>
    <w:rsid w:val="7FD34D39"/>
    <w:rsid w:val="7FDD5BB8"/>
    <w:rsid w:val="7FFD5912"/>
    <w:rsid w:val="9E3A10E2"/>
    <w:rsid w:val="F2E1F9D4"/>
    <w:rsid w:val="F788081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6"/>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27"/>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30"/>
    <w:unhideWhenUsed/>
    <w:qFormat/>
    <w:uiPriority w:val="9"/>
    <w:pPr>
      <w:keepNext/>
      <w:keepLines/>
      <w:spacing w:before="260" w:after="260" w:line="416" w:lineRule="auto"/>
      <w:outlineLvl w:val="2"/>
    </w:pPr>
    <w:rPr>
      <w:b/>
      <w:bCs/>
      <w:sz w:val="32"/>
      <w:szCs w:val="32"/>
    </w:rPr>
  </w:style>
  <w:style w:type="character" w:default="1" w:styleId="15">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23"/>
    <w:qFormat/>
    <w:uiPriority w:val="99"/>
    <w:pPr>
      <w:spacing w:beforeLines="30"/>
    </w:pPr>
    <w:rPr>
      <w:rFonts w:ascii="仿宋_GB2312" w:eastAsia="仿宋_GB2312"/>
      <w:kern w:val="0"/>
      <w:sz w:val="30"/>
    </w:rPr>
  </w:style>
  <w:style w:type="paragraph" w:styleId="6">
    <w:name w:val="toc 3"/>
    <w:basedOn w:val="1"/>
    <w:next w:val="1"/>
    <w:unhideWhenUsed/>
    <w:qFormat/>
    <w:uiPriority w:val="39"/>
    <w:pPr>
      <w:tabs>
        <w:tab w:val="right" w:leader="dot" w:pos="8296"/>
      </w:tabs>
      <w:ind w:left="840" w:leftChars="400"/>
    </w:pPr>
  </w:style>
  <w:style w:type="paragraph" w:styleId="7">
    <w:name w:val="Balloon Text"/>
    <w:basedOn w:val="1"/>
    <w:link w:val="29"/>
    <w:semiHidden/>
    <w:unhideWhenUsed/>
    <w:qFormat/>
    <w:uiPriority w:val="99"/>
    <w:rPr>
      <w:sz w:val="18"/>
      <w:szCs w:val="18"/>
    </w:rPr>
  </w:style>
  <w:style w:type="paragraph" w:styleId="8">
    <w:name w:val="footer"/>
    <w:basedOn w:val="1"/>
    <w:link w:val="21"/>
    <w:qFormat/>
    <w:uiPriority w:val="99"/>
    <w:pPr>
      <w:tabs>
        <w:tab w:val="center" w:pos="4153"/>
        <w:tab w:val="right" w:pos="8306"/>
      </w:tabs>
      <w:snapToGrid w:val="0"/>
      <w:jc w:val="left"/>
    </w:pPr>
    <w:rPr>
      <w:rFonts w:ascii="Calibri" w:hAnsi="Calibri"/>
      <w:kern w:val="0"/>
      <w:sz w:val="18"/>
      <w:szCs w:val="18"/>
    </w:rPr>
  </w:style>
  <w:style w:type="paragraph" w:styleId="9">
    <w:name w:val="header"/>
    <w:basedOn w:val="1"/>
    <w:link w:val="19"/>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0">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1">
    <w:name w:val="toc 2"/>
    <w:basedOn w:val="1"/>
    <w:next w:val="1"/>
    <w:unhideWhenUsed/>
    <w:qFormat/>
    <w:uiPriority w:val="39"/>
    <w:pPr>
      <w:tabs>
        <w:tab w:val="right" w:leader="dot" w:pos="8296"/>
      </w:tabs>
      <w:ind w:left="420" w:leftChars="200"/>
    </w:pPr>
  </w:style>
  <w:style w:type="paragraph" w:styleId="12">
    <w:name w:val="Title"/>
    <w:basedOn w:val="1"/>
    <w:next w:val="13"/>
    <w:qFormat/>
    <w:uiPriority w:val="99"/>
    <w:pPr>
      <w:spacing w:before="240" w:after="60"/>
      <w:jc w:val="center"/>
      <w:outlineLvl w:val="0"/>
    </w:pPr>
    <w:rPr>
      <w:rFonts w:ascii="Cambria" w:hAnsi="Cambria"/>
      <w:b/>
      <w:bCs/>
      <w:kern w:val="0"/>
      <w:sz w:val="32"/>
      <w:szCs w:val="32"/>
    </w:rPr>
  </w:style>
  <w:style w:type="paragraph" w:customStyle="1" w:styleId="13">
    <w:name w:val="Body Text Indent1"/>
    <w:basedOn w:val="1"/>
    <w:next w:val="1"/>
    <w:qFormat/>
    <w:uiPriority w:val="0"/>
    <w:pPr>
      <w:spacing w:after="120" w:afterLines="0"/>
      <w:ind w:left="420" w:leftChars="200"/>
    </w:pPr>
    <w:rPr>
      <w:sz w:val="24"/>
      <w:szCs w:val="20"/>
    </w:rPr>
  </w:style>
  <w:style w:type="character" w:styleId="16">
    <w:name w:val="Strong"/>
    <w:basedOn w:val="15"/>
    <w:qFormat/>
    <w:uiPriority w:val="99"/>
    <w:rPr>
      <w:b/>
    </w:rPr>
  </w:style>
  <w:style w:type="character" w:styleId="17">
    <w:name w:val="Hyperlink"/>
    <w:basedOn w:val="15"/>
    <w:unhideWhenUsed/>
    <w:qFormat/>
    <w:uiPriority w:val="99"/>
    <w:rPr>
      <w:color w:val="0000FF" w:themeColor="hyperlink"/>
      <w:u w:val="single"/>
      <w14:textFill>
        <w14:solidFill>
          <w14:schemeClr w14:val="hlink"/>
        </w14:solidFill>
      </w14:textFill>
    </w:rPr>
  </w:style>
  <w:style w:type="character" w:customStyle="1" w:styleId="18">
    <w:name w:val="Header Char"/>
    <w:basedOn w:val="15"/>
    <w:semiHidden/>
    <w:qFormat/>
    <w:uiPriority w:val="99"/>
    <w:rPr>
      <w:rFonts w:ascii="Times New Roman" w:hAnsi="Times New Roman"/>
      <w:sz w:val="18"/>
      <w:szCs w:val="18"/>
    </w:rPr>
  </w:style>
  <w:style w:type="character" w:customStyle="1" w:styleId="19">
    <w:name w:val="页眉 Char"/>
    <w:link w:val="9"/>
    <w:semiHidden/>
    <w:qFormat/>
    <w:locked/>
    <w:uiPriority w:val="99"/>
    <w:rPr>
      <w:sz w:val="18"/>
    </w:rPr>
  </w:style>
  <w:style w:type="character" w:customStyle="1" w:styleId="20">
    <w:name w:val="Footer Char"/>
    <w:basedOn w:val="15"/>
    <w:semiHidden/>
    <w:qFormat/>
    <w:uiPriority w:val="99"/>
    <w:rPr>
      <w:rFonts w:ascii="Times New Roman" w:hAnsi="Times New Roman"/>
      <w:sz w:val="18"/>
      <w:szCs w:val="18"/>
    </w:rPr>
  </w:style>
  <w:style w:type="character" w:customStyle="1" w:styleId="21">
    <w:name w:val="页脚 Char"/>
    <w:link w:val="8"/>
    <w:qFormat/>
    <w:locked/>
    <w:uiPriority w:val="99"/>
    <w:rPr>
      <w:sz w:val="18"/>
    </w:rPr>
  </w:style>
  <w:style w:type="character" w:customStyle="1" w:styleId="22">
    <w:name w:val="Body Text Char"/>
    <w:basedOn w:val="15"/>
    <w:semiHidden/>
    <w:qFormat/>
    <w:uiPriority w:val="99"/>
    <w:rPr>
      <w:rFonts w:ascii="Times New Roman" w:hAnsi="Times New Roman"/>
      <w:szCs w:val="24"/>
    </w:rPr>
  </w:style>
  <w:style w:type="character" w:customStyle="1" w:styleId="23">
    <w:name w:val="正文文本 Char"/>
    <w:link w:val="2"/>
    <w:qFormat/>
    <w:locked/>
    <w:uiPriority w:val="99"/>
    <w:rPr>
      <w:rFonts w:ascii="仿宋_GB2312" w:hAnsi="Times New Roman" w:eastAsia="仿宋_GB2312"/>
      <w:sz w:val="24"/>
    </w:rPr>
  </w:style>
  <w:style w:type="paragraph" w:customStyle="1" w:styleId="24">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5">
    <w:name w:val="List Paragraph"/>
    <w:basedOn w:val="1"/>
    <w:qFormat/>
    <w:uiPriority w:val="34"/>
    <w:pPr>
      <w:ind w:firstLine="420" w:firstLineChars="200"/>
    </w:pPr>
  </w:style>
  <w:style w:type="character" w:customStyle="1" w:styleId="26">
    <w:name w:val="标题 1 Char"/>
    <w:basedOn w:val="15"/>
    <w:link w:val="3"/>
    <w:qFormat/>
    <w:uiPriority w:val="9"/>
    <w:rPr>
      <w:rFonts w:ascii="Times New Roman" w:hAnsi="Times New Roman"/>
      <w:b/>
      <w:bCs/>
      <w:kern w:val="44"/>
      <w:sz w:val="44"/>
      <w:szCs w:val="44"/>
    </w:rPr>
  </w:style>
  <w:style w:type="character" w:customStyle="1" w:styleId="27">
    <w:name w:val="标题 2 Char"/>
    <w:basedOn w:val="15"/>
    <w:link w:val="4"/>
    <w:qFormat/>
    <w:uiPriority w:val="9"/>
    <w:rPr>
      <w:rFonts w:asciiTheme="majorHAnsi" w:hAnsiTheme="majorHAnsi" w:eastAsiaTheme="majorEastAsia" w:cstheme="majorBidi"/>
      <w:b/>
      <w:bCs/>
      <w:kern w:val="2"/>
      <w:sz w:val="32"/>
      <w:szCs w:val="32"/>
    </w:rPr>
  </w:style>
  <w:style w:type="paragraph" w:customStyle="1" w:styleId="28">
    <w:name w:val="TOC 标题1"/>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29">
    <w:name w:val="批注框文本 Char"/>
    <w:basedOn w:val="15"/>
    <w:link w:val="7"/>
    <w:semiHidden/>
    <w:qFormat/>
    <w:uiPriority w:val="99"/>
    <w:rPr>
      <w:rFonts w:ascii="Times New Roman" w:hAnsi="Times New Roman"/>
      <w:kern w:val="2"/>
      <w:sz w:val="18"/>
      <w:szCs w:val="18"/>
    </w:rPr>
  </w:style>
  <w:style w:type="character" w:customStyle="1" w:styleId="30">
    <w:name w:val="标题 3 Char"/>
    <w:basedOn w:val="15"/>
    <w:link w:val="5"/>
    <w:qFormat/>
    <w:uiPriority w:val="9"/>
    <w:rPr>
      <w:rFonts w:ascii="Times New Roman" w:hAnsi="Times New Roman"/>
      <w:b/>
      <w:bCs/>
      <w:kern w:val="2"/>
      <w:sz w:val="32"/>
      <w:szCs w:val="32"/>
    </w:rPr>
  </w:style>
  <w:style w:type="paragraph" w:customStyle="1" w:styleId="31">
    <w:name w:val="TOC Heading"/>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32">
    <w:name w:val="WPSOffice手动目录 1"/>
    <w:qFormat/>
    <w:uiPriority w:val="0"/>
    <w:pPr>
      <w:ind w:leftChars="0"/>
    </w:pPr>
    <w:rPr>
      <w:rFonts w:asciiTheme="minorHAnsi" w:hAnsiTheme="minorHAnsi" w:eastAsiaTheme="minorEastAsia" w:cstheme="minorBidi"/>
      <w:sz w:val="20"/>
      <w:szCs w:val="20"/>
    </w:rPr>
  </w:style>
  <w:style w:type="paragraph" w:customStyle="1" w:styleId="33">
    <w:name w:val="WPSOffice手动目录 2"/>
    <w:qFormat/>
    <w:uiPriority w:val="0"/>
    <w:pPr>
      <w:ind w:leftChars="200"/>
    </w:pPr>
    <w:rPr>
      <w:rFonts w:asciiTheme="minorHAnsi" w:hAnsiTheme="minorHAnsi" w:eastAsiaTheme="minorEastAsia" w:cstheme="minorBidi"/>
      <w:sz w:val="20"/>
      <w:szCs w:val="20"/>
    </w:rPr>
  </w:style>
  <w:style w:type="character" w:customStyle="1" w:styleId="34">
    <w:name w:val="font51"/>
    <w:basedOn w:val="15"/>
    <w:qFormat/>
    <w:uiPriority w:val="0"/>
    <w:rPr>
      <w:rFonts w:hint="default" w:ascii="Times New Roman" w:hAnsi="Times New Roman" w:cs="Times New Roman"/>
      <w:color w:val="000000"/>
      <w:sz w:val="16"/>
      <w:szCs w:val="16"/>
      <w:u w:val="none"/>
    </w:rPr>
  </w:style>
  <w:style w:type="character" w:customStyle="1" w:styleId="35">
    <w:name w:val="font41"/>
    <w:basedOn w:val="15"/>
    <w:qFormat/>
    <w:uiPriority w:val="0"/>
    <w:rPr>
      <w:rFonts w:hint="eastAsia" w:ascii="宋体" w:hAnsi="宋体" w:eastAsia="宋体" w:cs="宋体"/>
      <w:color w:val="000000"/>
      <w:sz w:val="16"/>
      <w:szCs w:val="16"/>
      <w:u w:val="none"/>
    </w:rPr>
  </w:style>
  <w:style w:type="character" w:customStyle="1" w:styleId="36">
    <w:name w:val="font31"/>
    <w:basedOn w:val="15"/>
    <w:qFormat/>
    <w:uiPriority w:val="0"/>
    <w:rPr>
      <w:rFonts w:hint="default" w:ascii="Times New Roman" w:hAnsi="Times New Roman" w:cs="Times New Roman"/>
      <w:b/>
      <w:bCs/>
      <w:color w:val="000000"/>
      <w:sz w:val="16"/>
      <w:szCs w:val="16"/>
      <w:u w:val="none"/>
    </w:rPr>
  </w:style>
  <w:style w:type="character" w:customStyle="1" w:styleId="37">
    <w:name w:val="font21"/>
    <w:basedOn w:val="15"/>
    <w:qFormat/>
    <w:uiPriority w:val="0"/>
    <w:rPr>
      <w:rFonts w:hint="eastAsia" w:ascii="宋体" w:hAnsi="宋体" w:eastAsia="宋体" w:cs="宋体"/>
      <w:b/>
      <w:bCs/>
      <w:color w:val="000000"/>
      <w:sz w:val="16"/>
      <w:szCs w:val="16"/>
      <w:u w:val="none"/>
    </w:rPr>
  </w:style>
  <w:style w:type="character" w:customStyle="1" w:styleId="38">
    <w:name w:val="font71"/>
    <w:basedOn w:val="15"/>
    <w:qFormat/>
    <w:uiPriority w:val="0"/>
    <w:rPr>
      <w:rFonts w:hint="default" w:ascii="Times New Roman" w:hAnsi="Times New Roman" w:cs="Times New Roman"/>
      <w:color w:val="000000"/>
      <w:sz w:val="16"/>
      <w:szCs w:val="16"/>
      <w:u w:val="none"/>
    </w:rPr>
  </w:style>
  <w:style w:type="character" w:customStyle="1" w:styleId="39">
    <w:name w:val="font61"/>
    <w:basedOn w:val="15"/>
    <w:qFormat/>
    <w:uiPriority w:val="0"/>
    <w:rPr>
      <w:rFonts w:hint="eastAsia" w:ascii="宋体" w:hAnsi="宋体" w:eastAsia="宋体" w:cs="宋体"/>
      <w:color w:val="000000"/>
      <w:sz w:val="16"/>
      <w:szCs w:val="16"/>
      <w:u w:val="none"/>
    </w:rPr>
  </w:style>
  <w:style w:type="character" w:customStyle="1" w:styleId="40">
    <w:name w:val="font91"/>
    <w:basedOn w:val="15"/>
    <w:qFormat/>
    <w:uiPriority w:val="0"/>
    <w:rPr>
      <w:rFonts w:hint="default" w:ascii="Times New Roman" w:hAnsi="Times New Roman" w:cs="Times New Roman"/>
      <w:b/>
      <w:bCs/>
      <w:color w:val="000000"/>
      <w:sz w:val="32"/>
      <w:szCs w:val="32"/>
      <w:u w:val="none"/>
    </w:rPr>
  </w:style>
</w:styles>
</file>

<file path=word/_rels/document.xml.rels><?xml version="1.0" encoding="UTF-8" standalone="yes"?>
<Relationships xmlns="http://schemas.openxmlformats.org/package/2006/relationships"><Relationship Id="rId9" Type="http://schemas.openxmlformats.org/officeDocument/2006/relationships/chart" Target="charts/chart4.xml"/><Relationship Id="rId8" Type="http://schemas.openxmlformats.org/officeDocument/2006/relationships/chart" Target="charts/chart3.xml"/><Relationship Id="rId7" Type="http://schemas.openxmlformats.org/officeDocument/2006/relationships/chart" Target="charts/chart2.xml"/><Relationship Id="rId6" Type="http://schemas.openxmlformats.org/officeDocument/2006/relationships/chart" Target="charts/chart1.xml"/><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chart" Target="charts/chart8.xml"/><Relationship Id="rId18" Type="http://schemas.openxmlformats.org/officeDocument/2006/relationships/chart" Target="charts/chart7.xml"/><Relationship Id="rId17" Type="http://schemas.openxmlformats.org/officeDocument/2006/relationships/image" Target="media/image3.emf"/><Relationship Id="rId16" Type="http://schemas.openxmlformats.org/officeDocument/2006/relationships/oleObject" Target="embeddings/oleObject3.bin"/><Relationship Id="rId15" Type="http://schemas.openxmlformats.org/officeDocument/2006/relationships/image" Target="media/image2.emf"/><Relationship Id="rId14" Type="http://schemas.openxmlformats.org/officeDocument/2006/relationships/oleObject" Target="embeddings/oleObject2.bin"/><Relationship Id="rId13" Type="http://schemas.openxmlformats.org/officeDocument/2006/relationships/chart" Target="charts/chart6.xml"/><Relationship Id="rId12" Type="http://schemas.openxmlformats.org/officeDocument/2006/relationships/chart" Target="charts/chart5.xml"/><Relationship Id="rId11" Type="http://schemas.openxmlformats.org/officeDocument/2006/relationships/image" Target="media/image1.emf"/><Relationship Id="rId10" Type="http://schemas.openxmlformats.org/officeDocument/2006/relationships/oleObject" Target="embeddings/oleObject1.bin"/><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1" Type="http://schemas.openxmlformats.org/officeDocument/2006/relationships/package" Target="../embeddings/Workbook5.xlsx"/></Relationships>
</file>

<file path=word/charts/_rels/chart2.xml.rels><?xml version="1.0" encoding="UTF-8" standalone="yes"?>
<Relationships xmlns="http://schemas.openxmlformats.org/package/2006/relationships"><Relationship Id="rId1" Type="http://schemas.openxmlformats.org/officeDocument/2006/relationships/package" Target="../embeddings/Workbook6.xlsx"/></Relationships>
</file>

<file path=word/charts/_rels/chart3.xml.rels><?xml version="1.0" encoding="UTF-8" standalone="yes"?>
<Relationships xmlns="http://schemas.openxmlformats.org/package/2006/relationships"><Relationship Id="rId1" Type="http://schemas.openxmlformats.org/officeDocument/2006/relationships/package" Target="../embeddings/Workbook7.xlsx"/></Relationships>
</file>

<file path=word/charts/_rels/chart4.xml.rels><?xml version="1.0" encoding="UTF-8" standalone="yes"?>
<Relationships xmlns="http://schemas.openxmlformats.org/package/2006/relationships"><Relationship Id="rId1" Type="http://schemas.openxmlformats.org/officeDocument/2006/relationships/package" Target="../embeddings/Workbook2.xlsx"/></Relationships>
</file>

<file path=word/charts/_rels/chart5.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1.xlsx"/></Relationships>
</file>

<file path=word/charts/_rels/chart6.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package" Target="../embeddings/Workbook3.xlsx"/></Relationships>
</file>

<file path=word/charts/_rels/chart7.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package" Target="../embeddings/Workbook4.xlsx"/></Relationships>
</file>

<file path=word/charts/_rels/chart8.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package" Target="../embeddings/Workbook8.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孕产妇孕期检测率（%）</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Sheet1!$A$2:$A$6</c:f>
              <c:strCache>
                <c:ptCount val="5"/>
                <c:pt idx="0">
                  <c:v>2018年</c:v>
                </c:pt>
                <c:pt idx="1">
                  <c:v>2019年</c:v>
                </c:pt>
                <c:pt idx="2">
                  <c:v>2020年</c:v>
                </c:pt>
                <c:pt idx="3">
                  <c:v>2021年</c:v>
                </c:pt>
                <c:pt idx="4">
                  <c:v>2022年</c:v>
                </c:pt>
              </c:strCache>
            </c:strRef>
          </c:cat>
          <c:val>
            <c:numRef>
              <c:f>Sheet1!$B$2:$B$6</c:f>
              <c:numCache>
                <c:formatCode>General</c:formatCode>
                <c:ptCount val="5"/>
                <c:pt idx="0">
                  <c:v>97.97</c:v>
                </c:pt>
                <c:pt idx="1">
                  <c:v>99.16</c:v>
                </c:pt>
                <c:pt idx="2">
                  <c:v>99.95</c:v>
                </c:pt>
                <c:pt idx="3">
                  <c:v>99.92</c:v>
                </c:pt>
                <c:pt idx="4">
                  <c:v>99.93</c:v>
                </c:pt>
              </c:numCache>
            </c:numRef>
          </c:val>
        </c:ser>
        <c:ser>
          <c:idx val="1"/>
          <c:order val="1"/>
          <c:tx>
            <c:strRef>
              <c:f>Sheet1!$C$1</c:f>
              <c:strCache>
                <c:ptCount val="1"/>
                <c:pt idx="0">
                  <c:v>孕产妇孕早期检测率（%）</c:v>
                </c:pt>
              </c:strCache>
            </c:strRef>
          </c:tx>
          <c:invertIfNegative val="0"/>
          <c:dLbls>
            <c:dLbl>
              <c:idx val="0"/>
              <c:layout>
                <c:manualLayout>
                  <c:x val="0.00952380952380952"/>
                  <c:y val="0.019607843137254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119047619047619"/>
                  <c:y val="0.014705882352941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0952380952380952"/>
                  <c:y val="0.029411764705882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00952380952380952"/>
                  <c:y val="0.029411764705882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0714285714285715"/>
                  <c:y val="0.0294117647058824"/>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Sheet1!$A$2:$A$6</c:f>
              <c:strCache>
                <c:ptCount val="5"/>
                <c:pt idx="0">
                  <c:v>2018年</c:v>
                </c:pt>
                <c:pt idx="1">
                  <c:v>2019年</c:v>
                </c:pt>
                <c:pt idx="2">
                  <c:v>2020年</c:v>
                </c:pt>
                <c:pt idx="3">
                  <c:v>2021年</c:v>
                </c:pt>
                <c:pt idx="4">
                  <c:v>2022年</c:v>
                </c:pt>
              </c:strCache>
            </c:strRef>
          </c:cat>
          <c:val>
            <c:numRef>
              <c:f>Sheet1!$C$2:$C$6</c:f>
              <c:numCache>
                <c:formatCode>General</c:formatCode>
                <c:ptCount val="5"/>
                <c:pt idx="0">
                  <c:v>83.51</c:v>
                </c:pt>
                <c:pt idx="1">
                  <c:v>91.25</c:v>
                </c:pt>
                <c:pt idx="2">
                  <c:v>91.16</c:v>
                </c:pt>
                <c:pt idx="3">
                  <c:v>93.12</c:v>
                </c:pt>
                <c:pt idx="4">
                  <c:v>95.13</c:v>
                </c:pt>
              </c:numCache>
            </c:numRef>
          </c:val>
        </c:ser>
        <c:dLbls>
          <c:showLegendKey val="0"/>
          <c:showVal val="0"/>
          <c:showCatName val="0"/>
          <c:showSerName val="0"/>
          <c:showPercent val="0"/>
          <c:showBubbleSize val="0"/>
        </c:dLbls>
        <c:gapWidth val="102"/>
        <c:overlap val="-10"/>
        <c:axId val="365326080"/>
        <c:axId val="365326640"/>
      </c:barChart>
      <c:catAx>
        <c:axId val="365326080"/>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365326640"/>
        <c:crosses val="autoZero"/>
        <c:auto val="1"/>
        <c:lblAlgn val="ctr"/>
        <c:lblOffset val="100"/>
        <c:noMultiLvlLbl val="0"/>
      </c:catAx>
      <c:valAx>
        <c:axId val="365326640"/>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365326080"/>
        <c:crosses val="autoZero"/>
        <c:crossBetween val="between"/>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chart>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HIV感染孕产妇抗病毒用药率（%）</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Sheet1!$A$2:$A$6</c:f>
              <c:strCache>
                <c:ptCount val="5"/>
                <c:pt idx="0">
                  <c:v>2018年</c:v>
                </c:pt>
                <c:pt idx="1">
                  <c:v>2019年</c:v>
                </c:pt>
                <c:pt idx="2">
                  <c:v>2020年</c:v>
                </c:pt>
                <c:pt idx="3">
                  <c:v>2021年</c:v>
                </c:pt>
                <c:pt idx="4">
                  <c:v>2022年</c:v>
                </c:pt>
              </c:strCache>
            </c:strRef>
          </c:cat>
          <c:val>
            <c:numRef>
              <c:f>Sheet1!$B$2:$B$6</c:f>
              <c:numCache>
                <c:formatCode>0_ </c:formatCode>
                <c:ptCount val="5"/>
                <c:pt idx="0">
                  <c:v>100</c:v>
                </c:pt>
                <c:pt idx="1">
                  <c:v>100</c:v>
                </c:pt>
                <c:pt idx="2">
                  <c:v>100</c:v>
                </c:pt>
                <c:pt idx="3">
                  <c:v>100</c:v>
                </c:pt>
                <c:pt idx="4" c:formatCode="General">
                  <c:v>100</c:v>
                </c:pt>
              </c:numCache>
            </c:numRef>
          </c:val>
        </c:ser>
        <c:ser>
          <c:idx val="1"/>
          <c:order val="1"/>
          <c:tx>
            <c:strRef>
              <c:f>Sheet1!$C$1</c:f>
              <c:strCache>
                <c:ptCount val="1"/>
                <c:pt idx="0">
                  <c:v>HIV感染孕产妇孕早期抗病毒用药率（%）</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Sheet1!$A$2:$A$6</c:f>
              <c:strCache>
                <c:ptCount val="5"/>
                <c:pt idx="0">
                  <c:v>2018年</c:v>
                </c:pt>
                <c:pt idx="1">
                  <c:v>2019年</c:v>
                </c:pt>
                <c:pt idx="2">
                  <c:v>2020年</c:v>
                </c:pt>
                <c:pt idx="3">
                  <c:v>2021年</c:v>
                </c:pt>
                <c:pt idx="4">
                  <c:v>2022年</c:v>
                </c:pt>
              </c:strCache>
            </c:strRef>
          </c:cat>
          <c:val>
            <c:numRef>
              <c:f>Sheet1!$C$2:$C$6</c:f>
              <c:numCache>
                <c:formatCode>0_ </c:formatCode>
                <c:ptCount val="5"/>
                <c:pt idx="0">
                  <c:v>25</c:v>
                </c:pt>
                <c:pt idx="1">
                  <c:v>50</c:v>
                </c:pt>
                <c:pt idx="2">
                  <c:v>100</c:v>
                </c:pt>
                <c:pt idx="3">
                  <c:v>100</c:v>
                </c:pt>
                <c:pt idx="4" c:formatCode="General">
                  <c:v>100</c:v>
                </c:pt>
              </c:numCache>
            </c:numRef>
          </c:val>
        </c:ser>
        <c:dLbls>
          <c:showLegendKey val="0"/>
          <c:showVal val="0"/>
          <c:showCatName val="0"/>
          <c:showSerName val="0"/>
          <c:showPercent val="0"/>
          <c:showBubbleSize val="0"/>
        </c:dLbls>
        <c:gapWidth val="101"/>
        <c:overlap val="-11"/>
        <c:axId val="365329440"/>
        <c:axId val="365330000"/>
      </c:barChart>
      <c:catAx>
        <c:axId val="365329440"/>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365330000"/>
        <c:crosses val="autoZero"/>
        <c:auto val="1"/>
        <c:lblAlgn val="ctr"/>
        <c:lblOffset val="100"/>
        <c:noMultiLvlLbl val="0"/>
      </c:catAx>
      <c:valAx>
        <c:axId val="365330000"/>
        <c:scaling>
          <c:orientation val="minMax"/>
        </c:scaling>
        <c:delete val="0"/>
        <c:axPos val="l"/>
        <c:majorGridlines/>
        <c:numFmt formatCode="0_ "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365329440"/>
        <c:crosses val="autoZero"/>
        <c:crossBetween val="between"/>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chart>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梅毒感染孕产妇梅毒治疗率（%）</c:v>
                </c:pt>
              </c:strCache>
            </c:strRef>
          </c:tx>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Sheet1!$A$2:$A$6</c:f>
              <c:strCache>
                <c:ptCount val="5"/>
                <c:pt idx="0">
                  <c:v>2018年</c:v>
                </c:pt>
                <c:pt idx="1">
                  <c:v>2019年</c:v>
                </c:pt>
                <c:pt idx="2">
                  <c:v>2020年</c:v>
                </c:pt>
                <c:pt idx="3">
                  <c:v>2021年</c:v>
                </c:pt>
                <c:pt idx="4">
                  <c:v>2022年</c:v>
                </c:pt>
              </c:strCache>
            </c:strRef>
          </c:cat>
          <c:val>
            <c:numRef>
              <c:f>Sheet1!$B$2:$B$6</c:f>
              <c:numCache>
                <c:formatCode>0_ </c:formatCode>
                <c:ptCount val="5"/>
                <c:pt idx="0">
                  <c:v>100</c:v>
                </c:pt>
                <c:pt idx="1" c:formatCode="0.00_ ">
                  <c:v>98.18</c:v>
                </c:pt>
                <c:pt idx="2">
                  <c:v>100</c:v>
                </c:pt>
                <c:pt idx="3">
                  <c:v>100</c:v>
                </c:pt>
                <c:pt idx="4" c:formatCode="General">
                  <c:v>98.31</c:v>
                </c:pt>
              </c:numCache>
            </c:numRef>
          </c:val>
        </c:ser>
        <c:ser>
          <c:idx val="1"/>
          <c:order val="1"/>
          <c:tx>
            <c:strRef>
              <c:f>Sheet1!$C$1</c:f>
              <c:strCache>
                <c:ptCount val="1"/>
                <c:pt idx="0">
                  <c:v>梅毒感染孕产妇所生儿童预防性治疗率（%）</c:v>
                </c:pt>
              </c:strCache>
            </c:strRef>
          </c:tx>
          <c:invertIfNegative val="0"/>
          <c:dLbls>
            <c:dLbl>
              <c:idx val="0"/>
              <c:layout>
                <c:manualLayout>
                  <c:x val="0.00423718463763458"/>
                  <c:y val="-0.00474498687664041"/>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00816326530612245"/>
                  <c:y val="0.03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09679370840895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4.98860450273436e-17"/>
                  <c:y val="0.0373333333333333"/>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0.0120992135511191"/>
                  <c:y val="0.0142348754448399"/>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Sheet1!$A$2:$A$6</c:f>
              <c:strCache>
                <c:ptCount val="5"/>
                <c:pt idx="0">
                  <c:v>2018年</c:v>
                </c:pt>
                <c:pt idx="1">
                  <c:v>2019年</c:v>
                </c:pt>
                <c:pt idx="2">
                  <c:v>2020年</c:v>
                </c:pt>
                <c:pt idx="3">
                  <c:v>2021年</c:v>
                </c:pt>
                <c:pt idx="4">
                  <c:v>2022年</c:v>
                </c:pt>
              </c:strCache>
            </c:strRef>
          </c:cat>
          <c:val>
            <c:numRef>
              <c:f>Sheet1!$C$2:$C$6</c:f>
              <c:numCache>
                <c:formatCode>0_ </c:formatCode>
                <c:ptCount val="5"/>
                <c:pt idx="0">
                  <c:v>100</c:v>
                </c:pt>
                <c:pt idx="1" c:formatCode="0.00_ ">
                  <c:v>96.88</c:v>
                </c:pt>
                <c:pt idx="2">
                  <c:v>100</c:v>
                </c:pt>
                <c:pt idx="3" c:formatCode="0.00_ ">
                  <c:v>98.57</c:v>
                </c:pt>
                <c:pt idx="4" c:formatCode="General">
                  <c:v>100</c:v>
                </c:pt>
              </c:numCache>
            </c:numRef>
          </c:val>
        </c:ser>
        <c:dLbls>
          <c:showLegendKey val="0"/>
          <c:showVal val="0"/>
          <c:showCatName val="0"/>
          <c:showSerName val="0"/>
          <c:showPercent val="0"/>
          <c:showBubbleSize val="0"/>
        </c:dLbls>
        <c:gapWidth val="73"/>
        <c:overlap val="-21"/>
        <c:axId val="366349840"/>
        <c:axId val="366350400"/>
      </c:barChart>
      <c:catAx>
        <c:axId val="366349840"/>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366350400"/>
        <c:crosses val="autoZero"/>
        <c:auto val="1"/>
        <c:lblAlgn val="ctr"/>
        <c:lblOffset val="100"/>
        <c:noMultiLvlLbl val="0"/>
      </c:catAx>
      <c:valAx>
        <c:axId val="366350400"/>
        <c:scaling>
          <c:orientation val="minMax"/>
          <c:min val="0"/>
        </c:scaling>
        <c:delete val="0"/>
        <c:axPos val="l"/>
        <c:majorGridlines/>
        <c:numFmt formatCode="0_ "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366349840"/>
        <c:crosses val="autoZero"/>
        <c:crossBetween val="between"/>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chart>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乙肝感染孕产妇所生儿童乙肝免疫球蛋白注射率（%）</c:v>
                </c:pt>
              </c:strCache>
            </c:strRef>
          </c:tx>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dLblPos val="r"/>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Sheet1!$A$2:$A$6</c:f>
              <c:strCache>
                <c:ptCount val="5"/>
                <c:pt idx="0">
                  <c:v>2018年</c:v>
                </c:pt>
                <c:pt idx="1">
                  <c:v>2019年</c:v>
                </c:pt>
                <c:pt idx="2">
                  <c:v>2020年</c:v>
                </c:pt>
                <c:pt idx="3">
                  <c:v>2021年</c:v>
                </c:pt>
                <c:pt idx="4">
                  <c:v>2022年</c:v>
                </c:pt>
              </c:strCache>
            </c:strRef>
          </c:cat>
          <c:val>
            <c:numRef>
              <c:f>Sheet1!$B$2:$B$6</c:f>
              <c:numCache>
                <c:formatCode>General</c:formatCode>
                <c:ptCount val="5"/>
                <c:pt idx="0">
                  <c:v>99.91</c:v>
                </c:pt>
                <c:pt idx="1">
                  <c:v>100</c:v>
                </c:pt>
                <c:pt idx="2">
                  <c:v>100</c:v>
                </c:pt>
                <c:pt idx="3">
                  <c:v>100</c:v>
                </c:pt>
                <c:pt idx="4">
                  <c:v>100</c:v>
                </c:pt>
              </c:numCache>
            </c:numRef>
          </c:val>
          <c:smooth val="0"/>
        </c:ser>
        <c:dLbls>
          <c:showLegendKey val="0"/>
          <c:showVal val="0"/>
          <c:showCatName val="0"/>
          <c:showSerName val="0"/>
          <c:showPercent val="0"/>
          <c:showBubbleSize val="0"/>
        </c:dLbls>
        <c:marker val="1"/>
        <c:smooth val="0"/>
        <c:axId val="366352640"/>
        <c:axId val="366353200"/>
      </c:lineChart>
      <c:catAx>
        <c:axId val="366352640"/>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366353200"/>
        <c:crosses val="autoZero"/>
        <c:auto val="1"/>
        <c:lblAlgn val="ctr"/>
        <c:lblOffset val="100"/>
        <c:noMultiLvlLbl val="0"/>
      </c:catAx>
      <c:valAx>
        <c:axId val="366353200"/>
        <c:scaling>
          <c:orientation val="minMax"/>
          <c:max val="100.2"/>
          <c:min val="99"/>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crossAx val="366352640"/>
        <c:crosses val="autoZero"/>
        <c:crossBetween val="between"/>
        <c:majorUnit val="0.2"/>
        <c:minorUnit val="0.04"/>
      </c:valAx>
    </c:plotArea>
    <c:legend>
      <c:legendPos val="r"/>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p>
      </c:txPr>
    </c:legend>
    <c:plotVisOnly val="1"/>
    <c:dispBlanksAs val="gap"/>
    <c:showDLblsOverMax val="0"/>
  </c:chart>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dk1">
                    <a:lumMod val="75000"/>
                    <a:lumOff val="25000"/>
                  </a:schemeClr>
                </a:solidFill>
                <a:latin typeface="+mn-lt"/>
                <a:ea typeface="+mn-ea"/>
                <a:cs typeface="+mn-cs"/>
              </a:defRPr>
            </a:pPr>
            <a:r>
              <a:t>图2.收入决算结构图</a:t>
            </a:r>
          </a:p>
        </c:rich>
      </c:tx>
      <c:layout>
        <c:manualLayout>
          <c:xMode val="edge"/>
          <c:yMode val="edge"/>
          <c:x val="0.326238339245828"/>
          <c:y val="0.0121555915721232"/>
        </c:manualLayout>
      </c:layout>
      <c:overlay val="0"/>
      <c:spPr>
        <a:noFill/>
        <a:ln>
          <a:noFill/>
        </a:ln>
        <a:effectLst/>
      </c:spPr>
    </c:title>
    <c:autoTitleDeleted val="0"/>
    <c:plotArea>
      <c:layout/>
      <c:pieChart>
        <c:varyColors val="1"/>
        <c:ser>
          <c:idx val="0"/>
          <c:order val="0"/>
          <c:tx>
            <c:strRef>
              <c:f>Sheet1!$B$1</c:f>
              <c:strCache>
                <c:ptCount val="1"/>
                <c:pt idx="0">
                  <c:v>图2.收入决算结构图</c:v>
                </c:pt>
              </c:strCache>
            </c:strRef>
          </c:tx>
          <c:spPr/>
          <c:explosion val="0"/>
          <c:dPt>
            <c:idx val="0"/>
            <c:bubble3D val="0"/>
            <c:spPr>
              <a:gradFill>
                <a:gsLst>
                  <a:gs pos="0">
                    <a:schemeClr val="accent1">
                      <a:hueOff val="-1670000"/>
                    </a:schemeClr>
                  </a:gs>
                  <a:gs pos="100000">
                    <a:schemeClr val="accent1"/>
                  </a:gs>
                </a:gsLst>
                <a:lin ang="5400000" scaled="0"/>
              </a:gradFill>
              <a:ln>
                <a:gradFill>
                  <a:gsLst>
                    <a:gs pos="0">
                      <a:schemeClr val="accent1">
                        <a:lumMod val="75000"/>
                        <a:hueOff val="-1670000"/>
                      </a:schemeClr>
                    </a:gs>
                    <a:gs pos="100000">
                      <a:schemeClr val="accent1">
                        <a:lumMod val="75000"/>
                      </a:schemeClr>
                    </a:gs>
                  </a:gsLst>
                  <a:lin ang="5160000" scaled="1"/>
                </a:gradFill>
              </a:ln>
              <a:effectLst/>
            </c:spPr>
          </c:dPt>
          <c:dPt>
            <c:idx val="1"/>
            <c:bubble3D val="0"/>
            <c:spPr>
              <a:gradFill>
                <a:gsLst>
                  <a:gs pos="0">
                    <a:schemeClr val="accent2">
                      <a:hueOff val="-1670000"/>
                    </a:schemeClr>
                  </a:gs>
                  <a:gs pos="100000">
                    <a:schemeClr val="accent2"/>
                  </a:gs>
                </a:gsLst>
                <a:lin ang="5400000" scaled="0"/>
              </a:gradFill>
              <a:ln>
                <a:gradFill>
                  <a:gsLst>
                    <a:gs pos="0">
                      <a:schemeClr val="accent2">
                        <a:lumMod val="75000"/>
                        <a:hueOff val="-1670000"/>
                      </a:schemeClr>
                    </a:gs>
                    <a:gs pos="100000">
                      <a:schemeClr val="accent2">
                        <a:lumMod val="75000"/>
                      </a:schemeClr>
                    </a:gs>
                  </a:gsLst>
                  <a:lin ang="5160000" scaled="1"/>
                </a:gradFill>
              </a:ln>
              <a:effectLst/>
            </c:spPr>
          </c:dPt>
          <c:dPt>
            <c:idx val="2"/>
            <c:bubble3D val="0"/>
            <c:spPr>
              <a:gradFill>
                <a:gsLst>
                  <a:gs pos="0">
                    <a:schemeClr val="accent3">
                      <a:hueOff val="-1670000"/>
                    </a:schemeClr>
                  </a:gs>
                  <a:gs pos="100000">
                    <a:schemeClr val="accent3"/>
                  </a:gs>
                </a:gsLst>
                <a:lin ang="5400000" scaled="0"/>
              </a:gradFill>
              <a:ln>
                <a:gradFill>
                  <a:gsLst>
                    <a:gs pos="0">
                      <a:schemeClr val="accent3">
                        <a:lumMod val="75000"/>
                        <a:hueOff val="-1670000"/>
                      </a:schemeClr>
                    </a:gs>
                    <a:gs pos="100000">
                      <a:schemeClr val="accent3">
                        <a:lumMod val="75000"/>
                      </a:schemeClr>
                    </a:gs>
                  </a:gsLst>
                  <a:lin ang="5160000" scaled="1"/>
                </a:gradFill>
              </a:ln>
              <a:effectLst/>
            </c:spPr>
          </c:dPt>
          <c:dPt>
            <c:idx val="3"/>
            <c:bubble3D val="0"/>
            <c:spPr>
              <a:gradFill>
                <a:gsLst>
                  <a:gs pos="0">
                    <a:schemeClr val="accent4">
                      <a:hueOff val="-1670000"/>
                    </a:schemeClr>
                  </a:gs>
                  <a:gs pos="100000">
                    <a:schemeClr val="accent4"/>
                  </a:gs>
                </a:gsLst>
                <a:lin ang="5400000" scaled="0"/>
              </a:gradFill>
              <a:ln>
                <a:gradFill>
                  <a:gsLst>
                    <a:gs pos="0">
                      <a:schemeClr val="accent4">
                        <a:lumMod val="75000"/>
                        <a:hueOff val="-1670000"/>
                      </a:schemeClr>
                    </a:gs>
                    <a:gs pos="100000">
                      <a:schemeClr val="accent4">
                        <a:lumMod val="75000"/>
                      </a:schemeClr>
                    </a:gs>
                  </a:gsLst>
                  <a:lin ang="5160000" scaled="1"/>
                </a:gradFill>
              </a:ln>
              <a:effectLst/>
            </c:spPr>
          </c:dPt>
          <c:dLbls>
            <c:dLbl>
              <c:idx val="0"/>
              <c:layout>
                <c:manualLayout>
                  <c:x val="-0.0429334048488181"/>
                  <c:y val="0.0859247082367114"/>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rPr lang="en-US" altLang="zh-CN"/>
                      <a:t>18.63</a:t>
                    </a:r>
                    <a:r>
                      <a:t>%</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0.121403232163973"/>
                      <c:h val="0.0923824959481361"/>
                    </c:manualLayout>
                  </c15:layout>
                </c:ext>
              </c:extLst>
            </c:dLbl>
            <c:dLbl>
              <c:idx val="1"/>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rPr lang="en-US" altLang="zh-CN"/>
                      <a:t>13.90</a:t>
                    </a:r>
                    <a:r>
                      <a:t>%</a:t>
                    </a:r>
                  </a:p>
                </c:rich>
              </c:tx>
              <c:dLblPos val="inEnd"/>
              <c:showLegendKey val="0"/>
              <c:showVal val="0"/>
              <c:showCatName val="0"/>
              <c:showSerName val="0"/>
              <c:showPercent val="1"/>
              <c:showBubbleSize val="0"/>
              <c:extLst>
                <c:ext xmlns:c15="http://schemas.microsoft.com/office/drawing/2012/chart" uri="{CE6537A1-D6FC-4f65-9D91-7224C49458BB}"/>
              </c:extLst>
            </c:dLbl>
            <c:dLbl>
              <c:idx val="2"/>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rPr lang="en-US" altLang="zh-CN"/>
                      <a:t>67.18</a:t>
                    </a:r>
                    <a:r>
                      <a:t>%</a:t>
                    </a:r>
                  </a:p>
                </c:rich>
              </c:tx>
              <c:dLblPos val="inEnd"/>
              <c:showLegendKey val="0"/>
              <c:showVal val="0"/>
              <c:showCatName val="0"/>
              <c:showSerName val="0"/>
              <c:showPercent val="1"/>
              <c:showBubbleSize val="0"/>
              <c:extLst>
                <c:ext xmlns:c15="http://schemas.microsoft.com/office/drawing/2012/chart" uri="{CE6537A1-D6FC-4f65-9D91-7224C49458BB}">
                  <c15:layout>
                    <c:manualLayout>
                      <c:w val="0.109184075679937"/>
                      <c:h val="0.0945434900054025"/>
                    </c:manualLayout>
                  </c15:layout>
                </c:ext>
              </c:extLst>
            </c:dLbl>
            <c:dLbl>
              <c:idx val="3"/>
              <c:layout>
                <c:manualLayout>
                  <c:x val="-0.00731024976551043"/>
                  <c:y val="-0.00161068013444912"/>
                </c:manualLayout>
              </c:layout>
              <c:tx>
                <c:rich>
                  <a:bodyPr rot="0" spcFirstLastPara="0" vertOverflow="ellipsis" vert="horz" wrap="square" lIns="38100" tIns="19050" rIns="38100" bIns="19050" anchor="ctr" anchorCtr="1"/>
                  <a:lstStyle/>
                  <a:p>
                    <a:pPr defTabSz="914400">
                      <a:defRPr lang="zh-CN" sz="1000" b="0" i="0" u="none" strike="noStrike" kern="1200" baseline="0">
                        <a:solidFill>
                          <a:schemeClr val="tx1">
                            <a:lumMod val="75000"/>
                            <a:lumOff val="25000"/>
                          </a:schemeClr>
                        </a:solidFill>
                        <a:latin typeface="+mn-lt"/>
                        <a:ea typeface="+mn-ea"/>
                        <a:cs typeface="+mn-cs"/>
                      </a:defRPr>
                    </a:pPr>
                    <a:r>
                      <a:t>0</a:t>
                    </a:r>
                    <a:r>
                      <a:rPr lang="en-US" altLang="zh-CN"/>
                      <a:t>.30</a:t>
                    </a:r>
                    <a:r>
                      <a:t>%</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0.0942057548285376"/>
                      <c:h val="0.0745542949756888"/>
                    </c:manualLayout>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一般公共预算财政拨款收入</c:v>
                </c:pt>
                <c:pt idx="1">
                  <c:v>政府性基金预算财政拨款收入</c:v>
                </c:pt>
                <c:pt idx="2">
                  <c:v>事业预算收入</c:v>
                </c:pt>
                <c:pt idx="3">
                  <c:v>其他预算收入</c:v>
                </c:pt>
              </c:strCache>
            </c:strRef>
          </c:cat>
          <c:val>
            <c:numRef>
              <c:f>Sheet1!$B$2:$B$5</c:f>
              <c:numCache>
                <c:formatCode>0.00%</c:formatCode>
                <c:ptCount val="4"/>
                <c:pt idx="0">
                  <c:v>0.167</c:v>
                </c:pt>
                <c:pt idx="1">
                  <c:v>0.1276</c:v>
                </c:pt>
                <c:pt idx="2">
                  <c:v>0.6023</c:v>
                </c:pt>
                <c:pt idx="3">
                  <c:v>0.0027</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lt1">
        <a:lumMod val="96000"/>
      </a:schemeClr>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t>图3.202</a:t>
            </a:r>
            <a:r>
              <a:rPr lang="en-US" altLang="zh-CN"/>
              <a:t>2</a:t>
            </a:r>
            <a:r>
              <a:t>年支出决算结构图</a:t>
            </a:r>
          </a:p>
        </c:rich>
      </c:tx>
      <c:layout/>
      <c:overlay val="0"/>
      <c:spPr>
        <a:noFill/>
        <a:ln>
          <a:noFill/>
        </a:ln>
        <a:effectLst/>
      </c:spPr>
    </c:title>
    <c:autoTitleDeleted val="0"/>
    <c:plotArea>
      <c:layout/>
      <c:pieChart>
        <c:varyColors val="1"/>
        <c:ser>
          <c:idx val="0"/>
          <c:order val="0"/>
          <c:tx>
            <c:strRef>
              <c:f>Sheet1!$B$1</c:f>
              <c:strCache>
                <c:ptCount val="1"/>
                <c:pt idx="0">
                  <c:v>图3.2021年支出决算结构图</c:v>
                </c:pt>
              </c:strCache>
            </c:strRef>
          </c:tx>
          <c:spPr/>
          <c:explosion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Lbls>
            <c:delete val="1"/>
          </c:dLbls>
          <c:cat>
            <c:strRef>
              <c:f>Sheet1!$A$2:$A$4</c:f>
              <c:strCache>
                <c:ptCount val="3"/>
                <c:pt idx="0">
                  <c:v>基本支出</c:v>
                </c:pt>
                <c:pt idx="1">
                  <c:v>项目支出</c:v>
                </c:pt>
                <c:pt idx="2">
                  <c:v>其他支出</c:v>
                </c:pt>
              </c:strCache>
            </c:strRef>
          </c:cat>
          <c:val>
            <c:numRef>
              <c:f>Sheet1!$B$2:$B$4</c:f>
              <c:numCache>
                <c:formatCode>General</c:formatCode>
                <c:ptCount val="3"/>
                <c:pt idx="0">
                  <c:v>88.72</c:v>
                </c:pt>
                <c:pt idx="1">
                  <c:v>11.27</c:v>
                </c:pt>
                <c:pt idx="2">
                  <c:v>0.01</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egendEntry>
        <c:idx val="2"/>
        <c:delete val="1"/>
      </c:legendEntry>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800" b="1" i="0" u="none" strike="noStrike" kern="1200" baseline="0">
                <a:solidFill>
                  <a:schemeClr val="dk1">
                    <a:lumMod val="75000"/>
                    <a:lumOff val="25000"/>
                  </a:schemeClr>
                </a:solidFill>
                <a:latin typeface="+mn-lt"/>
                <a:ea typeface="+mn-ea"/>
                <a:cs typeface="+mn-cs"/>
              </a:defRPr>
            </a:pPr>
            <a:r>
              <a:rPr sz="1500" b="0"/>
              <a:t>图6.一般公共预算财政拨款支出决算结构图</a:t>
            </a:r>
            <a:endParaRPr sz="1500" b="0"/>
          </a:p>
        </c:rich>
      </c:tx>
      <c:layout/>
      <c:overlay val="0"/>
      <c:spPr>
        <a:noFill/>
        <a:ln>
          <a:noFill/>
        </a:ln>
        <a:effectLst/>
      </c:spPr>
    </c:title>
    <c:autoTitleDeleted val="0"/>
    <c:plotArea>
      <c:layout/>
      <c:pieChart>
        <c:varyColors val="1"/>
        <c:ser>
          <c:idx val="0"/>
          <c:order val="0"/>
          <c:tx>
            <c:strRef>
              <c:f>Sheet1!$B$1</c:f>
              <c:strCache>
                <c:ptCount val="1"/>
                <c:pt idx="0">
                  <c:v>图6.一般公共预算财政拨款支出决算结构图</c:v>
                </c:pt>
              </c:strCache>
            </c:strRef>
          </c:tx>
          <c:spPr/>
          <c:explosion val="0"/>
          <c:dPt>
            <c:idx val="0"/>
            <c:bubble3D val="0"/>
            <c:spPr>
              <a:solidFill>
                <a:schemeClr val="accent1"/>
              </a:solidFill>
              <a:ln>
                <a:noFill/>
              </a:ln>
              <a:effectLst>
                <a:outerShdw blurRad="254000" sx="102000" sy="102000" algn="ctr" rotWithShape="0">
                  <a:prstClr val="black">
                    <a:alpha val="20000"/>
                  </a:prstClr>
                </a:outerShdw>
              </a:effectLst>
            </c:spPr>
          </c:dPt>
          <c:dPt>
            <c:idx val="1"/>
            <c:bubble3D val="0"/>
            <c:spPr>
              <a:solidFill>
                <a:schemeClr val="accent2"/>
              </a:solidFill>
              <a:ln>
                <a:noFill/>
              </a:ln>
              <a:effectLst>
                <a:outerShdw blurRad="254000" sx="102000" sy="102000" algn="ctr" rotWithShape="0">
                  <a:prstClr val="black">
                    <a:alpha val="20000"/>
                  </a:prstClr>
                </a:outerShdw>
              </a:effectLst>
            </c:spPr>
          </c:dPt>
          <c:dPt>
            <c:idx val="2"/>
            <c:bubble3D val="0"/>
            <c:spPr>
              <a:solidFill>
                <a:schemeClr val="accent3"/>
              </a:solidFill>
              <a:ln>
                <a:noFill/>
              </a:ln>
              <a:effectLst>
                <a:outerShdw blurRad="254000" sx="102000" sy="102000" algn="ctr" rotWithShape="0">
                  <a:prstClr val="black">
                    <a:alpha val="20000"/>
                  </a:prstClr>
                </a:outerShdw>
              </a:effectLst>
            </c:spPr>
          </c:dPt>
          <c:dPt>
            <c:idx val="3"/>
            <c:bubble3D val="0"/>
            <c:spPr>
              <a:solidFill>
                <a:schemeClr val="accent4"/>
              </a:solidFill>
              <a:ln>
                <a:noFill/>
              </a:ln>
              <a:effectLst>
                <a:outerShdw blurRad="254000" sx="102000" sy="102000" algn="ctr" rotWithShape="0">
                  <a:prstClr val="black">
                    <a:alpha val="20000"/>
                  </a:prstClr>
                </a:outerShdw>
              </a:effectLst>
            </c:spPr>
          </c:dPt>
          <c:dLbls>
            <c:dLbl>
              <c:idx val="0"/>
              <c:layout>
                <c:manualLayout>
                  <c:x val="0.00121509228552745"/>
                  <c:y val="0.0844207764028189"/>
                </c:manualLayout>
              </c:layout>
              <c:tx>
                <c:rich>
                  <a:bodyPr rot="0" spcFirstLastPara="0" vertOverflow="ellipsis" vert="horz" wrap="square" lIns="38100" tIns="19050" rIns="38100" bIns="19050" anchor="ctr" anchorCtr="1"/>
                  <a:lstStyle/>
                  <a:p>
                    <a:pPr defTabSz="914400">
                      <a:defRPr lang="zh-CN" sz="1000" b="1" i="0" u="none" strike="noStrike" kern="1200" baseline="0">
                        <a:solidFill>
                          <a:schemeClr val="lt1"/>
                        </a:solidFill>
                        <a:latin typeface="+mn-lt"/>
                        <a:ea typeface="+mn-ea"/>
                        <a:cs typeface="+mn-cs"/>
                      </a:defRPr>
                    </a:pPr>
                    <a:r>
                      <a:rPr lang="en-US" altLang="zh-CN"/>
                      <a:t>4.06</a:t>
                    </a:r>
                    <a:r>
                      <a:t>%</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0.0898428053204353"/>
                      <c:h val="0.07198573657232"/>
                    </c:manualLayout>
                  </c15:layout>
                </c:ext>
              </c:extLst>
            </c:dLbl>
            <c:dLbl>
              <c:idx val="1"/>
              <c:layout/>
              <c:tx>
                <c:rich>
                  <a:bodyPr rot="0" spcFirstLastPara="0" vertOverflow="ellipsis" vert="horz" wrap="square" lIns="38100" tIns="19050" rIns="38100" bIns="19050" anchor="ctr" anchorCtr="1"/>
                  <a:lstStyle/>
                  <a:p>
                    <a:pPr defTabSz="914400">
                      <a:defRPr lang="zh-CN" sz="1000" b="1" i="0" u="none" strike="noStrike" kern="1200" baseline="0">
                        <a:solidFill>
                          <a:schemeClr val="lt1"/>
                        </a:solidFill>
                        <a:latin typeface="+mn-lt"/>
                        <a:ea typeface="+mn-ea"/>
                        <a:cs typeface="+mn-cs"/>
                      </a:defRPr>
                    </a:pPr>
                    <a:r>
                      <a:rPr lang="en-US" altLang="zh-CN"/>
                      <a:t>87.07</a:t>
                    </a:r>
                    <a:r>
                      <a:t>%</a:t>
                    </a:r>
                  </a:p>
                </c:rich>
              </c:tx>
              <c:dLblPos val="ctr"/>
              <c:showLegendKey val="0"/>
              <c:showVal val="0"/>
              <c:showCatName val="0"/>
              <c:showSerName val="0"/>
              <c:showPercent val="1"/>
              <c:showBubbleSize val="0"/>
              <c:extLst>
                <c:ext xmlns:c15="http://schemas.microsoft.com/office/drawing/2012/chart" uri="{CE6537A1-D6FC-4f65-9D91-7224C49458BB}">
                  <c15:layout>
                    <c:manualLayout>
                      <c:w val="0.096372430471584"/>
                      <c:h val="0.0673055493648317"/>
                    </c:manualLayout>
                  </c15:layout>
                </c:ext>
              </c:extLst>
            </c:dLbl>
            <c:dLbl>
              <c:idx val="2"/>
              <c:layout>
                <c:manualLayout>
                  <c:x val="0.0375068072363087"/>
                  <c:y val="0.135393394887327"/>
                </c:manualLayout>
              </c:layout>
              <c:tx>
                <c:rich>
                  <a:bodyPr rot="0" spcFirstLastPara="0" vertOverflow="ellipsis" vert="horz" wrap="square" lIns="38100" tIns="19050" rIns="38100" bIns="19050" anchor="ctr" anchorCtr="1"/>
                  <a:lstStyle/>
                  <a:p>
                    <a:pPr defTabSz="914400">
                      <a:defRPr lang="zh-CN" sz="1000" b="1" i="0" u="none" strike="noStrike" kern="1200" baseline="0">
                        <a:solidFill>
                          <a:schemeClr val="lt1"/>
                        </a:solidFill>
                        <a:latin typeface="+mn-lt"/>
                        <a:ea typeface="+mn-ea"/>
                        <a:cs typeface="+mn-cs"/>
                      </a:defRPr>
                    </a:pPr>
                    <a:r>
                      <a:rPr lang="en-US" altLang="zh-CN"/>
                      <a:t>3.49</a:t>
                    </a:r>
                    <a:r>
                      <a:t>%</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0.0823458282950423"/>
                      <c:h val="0.0673055493648317"/>
                    </c:manualLayout>
                  </c15:layout>
                </c:ext>
              </c:extLst>
            </c:dLbl>
            <c:dLbl>
              <c:idx val="3"/>
              <c:layout>
                <c:manualLayout>
                  <c:x val="0.0141026084171936"/>
                  <c:y val="0.0833273117965176"/>
                </c:manualLayout>
              </c:layout>
              <c:tx>
                <c:rich>
                  <a:bodyPr rot="0" spcFirstLastPara="0" vertOverflow="ellipsis" vert="horz" wrap="square" lIns="38100" tIns="19050" rIns="38100" bIns="19050" anchor="ctr" anchorCtr="1"/>
                  <a:lstStyle/>
                  <a:p>
                    <a:pPr defTabSz="914400">
                      <a:defRPr lang="zh-CN" sz="1000" b="1" i="0" u="none" strike="noStrike" kern="1200" baseline="0">
                        <a:solidFill>
                          <a:schemeClr val="lt1"/>
                        </a:solidFill>
                        <a:latin typeface="+mn-lt"/>
                        <a:ea typeface="+mn-ea"/>
                        <a:cs typeface="+mn-cs"/>
                      </a:defRPr>
                    </a:pPr>
                    <a:r>
                      <a:rPr lang="en-US" altLang="zh-CN"/>
                      <a:t>5.38</a:t>
                    </a:r>
                    <a:r>
                      <a:t>%</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0.0848851269649335"/>
                      <c:h val="0.0554936483173613"/>
                    </c:manualLayout>
                  </c15:layout>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0" vertOverflow="ellipsis" vert="horz" wrap="square" lIns="38100" tIns="19050" rIns="38100" bIns="19050" anchor="ctr" anchorCtr="1"/>
              <a:lstStyle/>
              <a:p>
                <a:pPr>
                  <a:defRPr lang="zh-CN" sz="1000" b="1" i="0" u="none" strike="noStrike" kern="1200" baseline="0">
                    <a:solidFill>
                      <a:schemeClr val="lt1"/>
                    </a:solidFill>
                    <a:latin typeface="+mn-lt"/>
                    <a:ea typeface="+mn-ea"/>
                    <a:cs typeface="+mn-cs"/>
                  </a:defRPr>
                </a:pPr>
              </a:p>
            </c:txPr>
            <c:dLblPos val="ctr"/>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strRef>
              <c:f>Sheet1!$A$2:$A$5</c:f>
              <c:strCache>
                <c:ptCount val="4"/>
                <c:pt idx="0">
                  <c:v>社会保障和就业（类）支出</c:v>
                </c:pt>
                <c:pt idx="1">
                  <c:v>卫生健康支出</c:v>
                </c:pt>
                <c:pt idx="2">
                  <c:v>住房保障支出</c:v>
                </c:pt>
                <c:pt idx="3">
                  <c:v>其他支出</c:v>
                </c:pt>
              </c:strCache>
            </c:strRef>
          </c:cat>
          <c:val>
            <c:numRef>
              <c:f>Sheet1!$B$2:$B$5</c:f>
              <c:numCache>
                <c:formatCode>0.00%</c:formatCode>
                <c:ptCount val="4"/>
                <c:pt idx="0">
                  <c:v>0.047</c:v>
                </c:pt>
                <c:pt idx="1">
                  <c:v>0.8655</c:v>
                </c:pt>
                <c:pt idx="2">
                  <c:v>0.0295</c:v>
                </c:pt>
                <c:pt idx="3">
                  <c:v>0.058</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r"/>
      <c:layout/>
      <c:overlay val="0"/>
      <c:spPr>
        <a:solidFill>
          <a:schemeClr val="lt1">
            <a:lumMod val="95000"/>
            <a:alpha val="39000"/>
          </a:schemeClr>
        </a:solidFill>
        <a:ln>
          <a:noFill/>
        </a:ln>
        <a:effectLst/>
      </c:spPr>
      <c:txPr>
        <a:bodyPr rot="0" spcFirstLastPara="0" vertOverflow="ellipsis" vert="horz" wrap="square" anchor="ctr" anchorCtr="1"/>
        <a:lstStyle/>
        <a:p>
          <a:pPr>
            <a:defRPr lang="zh-CN" sz="900" b="0" i="0" u="none" strike="noStrike" kern="1200" baseline="0">
              <a:solidFill>
                <a:schemeClr val="dk1">
                  <a:lumMod val="75000"/>
                  <a:lumOff val="25000"/>
                </a:schemeClr>
              </a:solidFill>
              <a:latin typeface="+mn-lt"/>
              <a:ea typeface="+mn-ea"/>
              <a:cs typeface="+mn-cs"/>
            </a:defRPr>
          </a:pPr>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gradFill>
    <a:ln w="9525" cap="flat" cmpd="sng" algn="ctr">
      <a:solidFill>
        <a:schemeClr val="dk1">
          <a:lumMod val="25000"/>
          <a:lumOff val="75000"/>
        </a:schemeClr>
      </a:solidFill>
      <a:round/>
    </a:ln>
    <a:effectLst/>
  </c:spPr>
  <c:txPr>
    <a:bodyPr/>
    <a:lstStyle/>
    <a:p>
      <a:pPr>
        <a:defRPr lang="zh-CN"/>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tx1">
                    <a:lumMod val="65000"/>
                    <a:lumOff val="35000"/>
                  </a:schemeClr>
                </a:solidFill>
                <a:latin typeface="+mn-lt"/>
                <a:ea typeface="+mn-ea"/>
                <a:cs typeface="+mn-cs"/>
              </a:defRPr>
            </a:pPr>
            <a:r>
              <a:t>图</a:t>
            </a:r>
            <a:r>
              <a:rPr lang="en-US" altLang="zh-CN"/>
              <a:t>7</a:t>
            </a:r>
            <a:r>
              <a:t>.</a:t>
            </a:r>
            <a:r>
              <a:rPr lang="en-US" altLang="zh-CN"/>
              <a:t>“</a:t>
            </a:r>
            <a:r>
              <a:rPr altLang="en-US"/>
              <a:t>三公</a:t>
            </a:r>
            <a:r>
              <a:rPr lang="en-US" altLang="zh-CN"/>
              <a:t>”</a:t>
            </a:r>
            <a:r>
              <a:rPr altLang="en-US"/>
              <a:t>经费财政拨款支出结构图</a:t>
            </a:r>
            <a:endParaRPr altLang="en-US"/>
          </a:p>
        </c:rich>
      </c:tx>
      <c:layout/>
      <c:overlay val="0"/>
      <c:spPr>
        <a:noFill/>
        <a:ln>
          <a:noFill/>
        </a:ln>
        <a:effectLst/>
      </c:spPr>
    </c:title>
    <c:autoTitleDeleted val="0"/>
    <c:plotArea>
      <c:layout/>
      <c:pieChart>
        <c:varyColors val="1"/>
        <c:ser>
          <c:idx val="0"/>
          <c:order val="0"/>
          <c:tx>
            <c:strRef>
              <c:f>Sheet1!$B$1</c:f>
              <c:strCache>
                <c:ptCount val="1"/>
                <c:pt idx="0">
                  <c:v>图3.2021年支出决算结构图</c:v>
                </c:pt>
              </c:strCache>
            </c:strRef>
          </c:tx>
          <c:spPr/>
          <c:explosion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Lbls>
            <c:delete val="1"/>
          </c:dLbls>
          <c:cat>
            <c:strRef>
              <c:f>Sheet1!$A$2:$A$4</c:f>
              <c:strCache>
                <c:ptCount val="3"/>
                <c:pt idx="0">
                  <c:v>基本支出</c:v>
                </c:pt>
                <c:pt idx="1">
                  <c:v>项目支出</c:v>
                </c:pt>
                <c:pt idx="2">
                  <c:v>其他支出</c:v>
                </c:pt>
              </c:strCache>
            </c:strRef>
          </c:cat>
          <c:val>
            <c:numRef>
              <c:f>Sheet1!$B$2:$B$4</c:f>
              <c:numCache>
                <c:formatCode>General</c:formatCode>
                <c:ptCount val="3"/>
                <c:pt idx="0">
                  <c:v>88.72</c:v>
                </c:pt>
                <c:pt idx="1">
                  <c:v>11.27</c:v>
                </c:pt>
                <c:pt idx="2">
                  <c:v>0.01</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egendEntry>
        <c:idx val="2"/>
        <c:delete val="1"/>
      </c:legendEntry>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8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lt1">
          <a:lumMod val="96000"/>
        </a:schemeClr>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hueOff val="-1670000"/>
            </a:schemeClr>
          </a:gs>
          <a:gs pos="100000">
            <a:schemeClr val="phClr"/>
          </a:gs>
        </a:gsLst>
        <a:lin ang="5400000" scaled="0"/>
      </a:gradFill>
      <a:ln>
        <a:gradFill>
          <a:gsLst>
            <a:gs pos="0">
              <a:schemeClr val="phClr">
                <a:lumMod val="75000"/>
                <a:hueOff val="-1670000"/>
              </a:schemeClr>
            </a:gs>
            <a:gs pos="100000">
              <a:schemeClr val="phClr">
                <a:lumMod val="75000"/>
              </a:schemeClr>
            </a:gs>
          </a:gsLst>
          <a:lin ang="5160000" scaled="1"/>
        </a:gradFill>
      </a:ln>
      <a:effectLst/>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bg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dk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027"/>
    <customShpInfo spid="_x0000_s102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四川省财政厅</Company>
  <Pages>24</Pages>
  <Words>1299</Words>
  <Characters>7410</Characters>
  <Lines>61</Lines>
  <Paragraphs>17</Paragraphs>
  <TotalTime>122</TotalTime>
  <ScaleCrop>false</ScaleCrop>
  <LinksUpToDate>false</LinksUpToDate>
  <CharactersWithSpaces>8692</CharactersWithSpaces>
  <Application>WPS Office_11.8.2.11716_F1E327BC-269C-435d-A152-05C5408002CA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2020-08-05T01:49:00Z</dcterms:created>
  <dc:creator>曹颖</dc:creator>
  <cp:lastModifiedBy>l</cp:lastModifiedBy>
  <cp:lastPrinted>2023-10-10T07:04:00Z</cp:lastPrinted>
  <dcterms:modified xsi:type="dcterms:W3CDTF">2024-12-24T03:45:13Z</dcterms:modified>
  <dc:title>四川省***</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45CE72444580481AACBD3369398DB994</vt:lpwstr>
  </property>
</Properties>
</file>